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9109E" w14:textId="3307490D" w:rsidR="00F00E98" w:rsidRPr="006F7EB1" w:rsidRDefault="00F00E98" w:rsidP="00F00E98">
      <w:pPr>
        <w:pStyle w:val="3GPPHeader"/>
        <w:spacing w:after="0"/>
        <w:rPr>
          <w:rFonts w:ascii="Arial" w:hAnsi="Arial" w:cs="Arial"/>
          <w:sz w:val="20"/>
          <w:lang w:val="en-US"/>
        </w:rPr>
      </w:pPr>
      <w:bookmarkStart w:id="0" w:name="_Ref409106980"/>
      <w:bookmarkStart w:id="1" w:name="_Ref387147111"/>
      <w:bookmarkStart w:id="2" w:name="_Ref416466774"/>
      <w:r w:rsidRPr="006F7EB1">
        <w:rPr>
          <w:rFonts w:ascii="Arial" w:hAnsi="Arial" w:cs="Arial"/>
          <w:sz w:val="20"/>
          <w:lang w:val="en-US"/>
        </w:rPr>
        <w:t>3GPP TSG RAN1#88</w:t>
      </w:r>
      <w:r w:rsidRPr="006F7EB1">
        <w:rPr>
          <w:rFonts w:ascii="Arial" w:hAnsi="Arial" w:cs="Arial"/>
          <w:sz w:val="20"/>
          <w:lang w:val="en-US"/>
        </w:rPr>
        <w:tab/>
        <w:t xml:space="preserve"> R1-17</w:t>
      </w:r>
      <w:r>
        <w:rPr>
          <w:rFonts w:ascii="Arial" w:hAnsi="Arial" w:cs="Arial"/>
          <w:sz w:val="20"/>
          <w:lang w:val="en-US"/>
        </w:rPr>
        <w:t>0</w:t>
      </w:r>
      <w:r w:rsidR="009A6F84">
        <w:rPr>
          <w:rFonts w:ascii="Arial" w:hAnsi="Arial" w:cs="Arial"/>
          <w:sz w:val="20"/>
          <w:lang w:val="en-US"/>
        </w:rPr>
        <w:t>3865</w:t>
      </w:r>
    </w:p>
    <w:p w14:paraId="41FF5D3B" w14:textId="77777777" w:rsidR="00F00E98" w:rsidRPr="00DA324C" w:rsidRDefault="00F00E98" w:rsidP="00F00E98">
      <w:pPr>
        <w:spacing w:after="60"/>
        <w:ind w:left="1985" w:hanging="1985"/>
        <w:rPr>
          <w:rFonts w:ascii="Arial" w:eastAsia="Times New Roman" w:hAnsi="Arial" w:cs="Arial"/>
          <w:b/>
          <w:sz w:val="20"/>
        </w:rPr>
      </w:pPr>
      <w:r>
        <w:rPr>
          <w:rFonts w:ascii="Arial" w:eastAsia="Times New Roman" w:hAnsi="Arial" w:cs="Arial"/>
          <w:b/>
          <w:sz w:val="20"/>
        </w:rPr>
        <w:t>Athens, Greece</w:t>
      </w:r>
    </w:p>
    <w:p w14:paraId="7CA8867C" w14:textId="77777777" w:rsidR="00F00E98" w:rsidRPr="00DA324C" w:rsidRDefault="00F00E98" w:rsidP="00F00E98">
      <w:pPr>
        <w:spacing w:after="60"/>
        <w:ind w:left="1985" w:hanging="1985"/>
        <w:rPr>
          <w:rFonts w:ascii="Arial" w:eastAsia="Times New Roman" w:hAnsi="Arial" w:cs="Arial"/>
          <w:b/>
          <w:sz w:val="20"/>
        </w:rPr>
      </w:pPr>
      <w:r w:rsidRPr="00DA324C">
        <w:rPr>
          <w:rFonts w:ascii="Arial" w:eastAsia="Times New Roman" w:hAnsi="Arial" w:cs="Arial"/>
          <w:b/>
          <w:sz w:val="20"/>
        </w:rPr>
        <w:t>1</w:t>
      </w:r>
      <w:r>
        <w:rPr>
          <w:rFonts w:ascii="Arial" w:eastAsia="Times New Roman" w:hAnsi="Arial" w:cs="Arial"/>
          <w:b/>
          <w:sz w:val="20"/>
        </w:rPr>
        <w:t>3</w:t>
      </w:r>
      <w:r w:rsidRPr="00DA324C">
        <w:rPr>
          <w:rFonts w:ascii="Arial" w:eastAsia="Times New Roman" w:hAnsi="Arial" w:cs="Arial"/>
          <w:b/>
          <w:sz w:val="20"/>
          <w:vertAlign w:val="superscript"/>
        </w:rPr>
        <w:t>th</w:t>
      </w:r>
      <w:r w:rsidRPr="00DA324C">
        <w:rPr>
          <w:rFonts w:ascii="Arial" w:eastAsia="Times New Roman" w:hAnsi="Arial" w:cs="Arial"/>
          <w:b/>
          <w:sz w:val="20"/>
        </w:rPr>
        <w:t xml:space="preserve"> – </w:t>
      </w:r>
      <w:r>
        <w:rPr>
          <w:rFonts w:ascii="Arial" w:eastAsia="Times New Roman" w:hAnsi="Arial" w:cs="Arial"/>
          <w:b/>
          <w:sz w:val="20"/>
        </w:rPr>
        <w:t>17</w:t>
      </w:r>
      <w:r w:rsidRPr="00DA324C">
        <w:rPr>
          <w:rFonts w:ascii="Arial" w:eastAsia="Times New Roman" w:hAnsi="Arial" w:cs="Arial"/>
          <w:b/>
          <w:sz w:val="20"/>
          <w:vertAlign w:val="superscript"/>
        </w:rPr>
        <w:t>th</w:t>
      </w:r>
      <w:r w:rsidRPr="00DA324C">
        <w:rPr>
          <w:rFonts w:ascii="Arial" w:eastAsia="Times New Roman" w:hAnsi="Arial" w:cs="Arial"/>
          <w:b/>
          <w:sz w:val="20"/>
        </w:rPr>
        <w:t xml:space="preserve"> </w:t>
      </w:r>
      <w:r>
        <w:rPr>
          <w:rFonts w:ascii="Arial" w:eastAsia="Times New Roman" w:hAnsi="Arial" w:cs="Arial"/>
          <w:b/>
          <w:sz w:val="20"/>
        </w:rPr>
        <w:t>April</w:t>
      </w:r>
      <w:r w:rsidRPr="00DA324C">
        <w:rPr>
          <w:rFonts w:ascii="Arial" w:eastAsia="Times New Roman" w:hAnsi="Arial" w:cs="Arial"/>
          <w:b/>
          <w:sz w:val="20"/>
        </w:rPr>
        <w:t>, 2017</w:t>
      </w:r>
    </w:p>
    <w:p w14:paraId="149BD6CE" w14:textId="77777777"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14:paraId="398C5E2D" w14:textId="0132523B" w:rsidR="00282882" w:rsidRPr="00956A13" w:rsidRDefault="00282882" w:rsidP="00282882">
      <w:pPr>
        <w:pStyle w:val="3GPPHeader"/>
        <w:spacing w:after="120"/>
        <w:rPr>
          <w:rFonts w:ascii="Arial" w:hAnsi="Arial" w:cs="Arial"/>
          <w:b w:val="0"/>
          <w:bCs/>
          <w:sz w:val="20"/>
          <w:lang w:val="en-US"/>
        </w:rPr>
      </w:pPr>
      <w:r w:rsidRPr="00956A13">
        <w:rPr>
          <w:rFonts w:ascii="Arial" w:hAnsi="Arial" w:cs="Arial"/>
          <w:sz w:val="20"/>
          <w:lang w:val="en-US"/>
        </w:rPr>
        <w:t xml:space="preserve">Title:  </w:t>
      </w:r>
      <w:r w:rsidRPr="00956A13">
        <w:rPr>
          <w:rFonts w:ascii="Arial" w:hAnsi="Arial" w:cs="Arial"/>
          <w:sz w:val="20"/>
          <w:lang w:val="en-US"/>
        </w:rPr>
        <w:tab/>
      </w:r>
      <w:r w:rsidR="00A07163" w:rsidRPr="00EE008F">
        <w:rPr>
          <w:rFonts w:ascii="Arial" w:hAnsi="Arial" w:cs="Arial"/>
          <w:b w:val="0"/>
          <w:sz w:val="20"/>
        </w:rPr>
        <w:t xml:space="preserve">On </w:t>
      </w:r>
      <w:r w:rsidR="00A07163">
        <w:rPr>
          <w:rFonts w:ascii="Arial" w:hAnsi="Arial" w:cs="Arial"/>
          <w:b w:val="0"/>
          <w:sz w:val="20"/>
        </w:rPr>
        <w:t xml:space="preserve">5G </w:t>
      </w:r>
      <w:r w:rsidR="00A07163" w:rsidRPr="00EE008F">
        <w:rPr>
          <w:rFonts w:ascii="Arial" w:hAnsi="Arial" w:cs="Arial"/>
          <w:b w:val="0"/>
          <w:sz w:val="20"/>
        </w:rPr>
        <w:t xml:space="preserve">mMTC requirement fulfilment, NB-IoT and eMTC </w:t>
      </w:r>
      <w:r w:rsidR="00A07163">
        <w:rPr>
          <w:rFonts w:ascii="Arial" w:hAnsi="Arial" w:cs="Arial"/>
          <w:b w:val="0"/>
          <w:sz w:val="20"/>
        </w:rPr>
        <w:t>connection density</w:t>
      </w:r>
    </w:p>
    <w:p w14:paraId="5905A6CF" w14:textId="77777777" w:rsidR="00282882" w:rsidRPr="00956A13" w:rsidRDefault="00282882" w:rsidP="00282882">
      <w:pPr>
        <w:pStyle w:val="3GPPHeader"/>
        <w:spacing w:after="120"/>
        <w:rPr>
          <w:rFonts w:ascii="Arial" w:hAnsi="Arial" w:cs="Arial"/>
          <w:sz w:val="20"/>
          <w:lang w:val="en-US"/>
        </w:rPr>
      </w:pPr>
      <w:r w:rsidRPr="00956A13">
        <w:rPr>
          <w:rFonts w:ascii="Arial" w:hAnsi="Arial" w:cs="Arial"/>
          <w:sz w:val="20"/>
          <w:lang w:val="en-US"/>
        </w:rPr>
        <w:t xml:space="preserve">Source: </w:t>
      </w:r>
      <w:r w:rsidRPr="00956A13">
        <w:rPr>
          <w:rFonts w:ascii="Arial" w:hAnsi="Arial" w:cs="Arial"/>
          <w:sz w:val="20"/>
          <w:lang w:val="en-US"/>
        </w:rPr>
        <w:tab/>
      </w:r>
      <w:r w:rsidRPr="00956A13">
        <w:rPr>
          <w:rFonts w:ascii="Arial" w:hAnsi="Arial" w:cs="Arial"/>
          <w:b w:val="0"/>
          <w:bCs/>
          <w:sz w:val="20"/>
          <w:lang w:val="en-US"/>
        </w:rPr>
        <w:t>Ericsson</w:t>
      </w:r>
    </w:p>
    <w:p w14:paraId="48DD3175" w14:textId="2EC9C11C" w:rsidR="00282882" w:rsidRPr="00956A13" w:rsidRDefault="00282882" w:rsidP="00282882">
      <w:pPr>
        <w:pStyle w:val="3GPPHeader"/>
        <w:spacing w:after="120"/>
        <w:rPr>
          <w:rFonts w:ascii="Arial" w:hAnsi="Arial" w:cs="Arial"/>
          <w:sz w:val="20"/>
          <w:lang w:val="en-US"/>
        </w:rPr>
      </w:pPr>
      <w:r w:rsidRPr="00956A13">
        <w:rPr>
          <w:rFonts w:ascii="Arial" w:hAnsi="Arial" w:cs="Arial"/>
          <w:sz w:val="20"/>
          <w:lang w:val="en-US"/>
        </w:rPr>
        <w:t>Agenda Item:</w:t>
      </w:r>
      <w:r w:rsidRPr="00956A13">
        <w:rPr>
          <w:rFonts w:ascii="Arial" w:hAnsi="Arial" w:cs="Arial"/>
          <w:sz w:val="20"/>
          <w:lang w:val="en-US"/>
        </w:rPr>
        <w:tab/>
      </w:r>
      <w:r w:rsidR="00F00E98">
        <w:rPr>
          <w:rFonts w:ascii="Arial" w:hAnsi="Arial" w:cs="Arial"/>
          <w:b w:val="0"/>
          <w:bCs/>
          <w:sz w:val="20"/>
          <w:lang w:val="en-US"/>
        </w:rPr>
        <w:t>8.1.10</w:t>
      </w:r>
      <w:r w:rsidRPr="00956A13">
        <w:rPr>
          <w:rFonts w:ascii="Arial" w:hAnsi="Arial" w:cs="Arial"/>
          <w:b w:val="0"/>
          <w:bCs/>
          <w:sz w:val="20"/>
          <w:lang w:val="en-US"/>
        </w:rPr>
        <w:t xml:space="preserve"> </w:t>
      </w:r>
      <w:r w:rsidR="00B23183" w:rsidRPr="00956A13">
        <w:rPr>
          <w:rFonts w:ascii="Arial" w:hAnsi="Arial" w:cs="Arial"/>
          <w:b w:val="0"/>
          <w:bCs/>
          <w:sz w:val="20"/>
          <w:lang w:val="en-US"/>
        </w:rPr>
        <w:t>Other</w:t>
      </w:r>
    </w:p>
    <w:p w14:paraId="68BF42AC" w14:textId="6E433DB7" w:rsidR="00282882" w:rsidRPr="00956A13" w:rsidRDefault="00282882" w:rsidP="00282882">
      <w:pPr>
        <w:pStyle w:val="3GPPHeader"/>
        <w:rPr>
          <w:rFonts w:ascii="Arial" w:hAnsi="Arial" w:cs="Arial"/>
          <w:b w:val="0"/>
          <w:bCs/>
          <w:sz w:val="20"/>
          <w:lang w:val="en-US"/>
        </w:rPr>
      </w:pPr>
      <w:r w:rsidRPr="00956A13">
        <w:rPr>
          <w:rFonts w:ascii="Arial" w:hAnsi="Arial" w:cs="Arial"/>
          <w:sz w:val="20"/>
          <w:lang w:val="en-US"/>
        </w:rPr>
        <w:t>Document for:</w:t>
      </w:r>
      <w:r w:rsidRPr="00956A13">
        <w:rPr>
          <w:rFonts w:ascii="Arial" w:hAnsi="Arial" w:cs="Arial"/>
          <w:sz w:val="20"/>
          <w:lang w:val="en-US"/>
        </w:rPr>
        <w:tab/>
      </w:r>
      <w:r w:rsidR="00B23183" w:rsidRPr="00956A13">
        <w:rPr>
          <w:rFonts w:ascii="Arial" w:hAnsi="Arial" w:cs="Arial"/>
          <w:b w:val="0"/>
          <w:bCs/>
          <w:sz w:val="20"/>
          <w:lang w:val="en-US"/>
        </w:rPr>
        <w:t>Decision</w:t>
      </w:r>
    </w:p>
    <w:p w14:paraId="0C6DB347" w14:textId="77777777" w:rsidR="001B4C46" w:rsidRPr="00282882" w:rsidRDefault="001B4C46" w:rsidP="00CB6A16">
      <w:pPr>
        <w:pStyle w:val="Heading1"/>
      </w:pPr>
      <w:r w:rsidRPr="00282882">
        <w:t>Introduction</w:t>
      </w:r>
      <w:bookmarkEnd w:id="0"/>
    </w:p>
    <w:p w14:paraId="05A69BCE" w14:textId="62C78B49" w:rsidR="002665F0" w:rsidRPr="003A7C3F" w:rsidRDefault="003A2944" w:rsidP="003A2944">
      <w:pPr>
        <w:pStyle w:val="BodyText"/>
        <w:rPr>
          <w:rFonts w:ascii="Arial" w:hAnsi="Arial" w:cs="Arial"/>
          <w:sz w:val="20"/>
          <w:lang w:val="en-US"/>
        </w:rPr>
      </w:pPr>
      <w:bookmarkStart w:id="3" w:name="_Ref421460494"/>
      <w:r w:rsidRPr="003A7C3F">
        <w:rPr>
          <w:rFonts w:ascii="Arial" w:hAnsi="Arial" w:cs="Arial"/>
          <w:sz w:val="20"/>
        </w:rPr>
        <w:t>At RAN#</w:t>
      </w:r>
      <w:r w:rsidR="00962B63" w:rsidRPr="003A7C3F">
        <w:rPr>
          <w:rFonts w:ascii="Arial" w:hAnsi="Arial" w:cs="Arial"/>
          <w:sz w:val="20"/>
        </w:rPr>
        <w:t>7</w:t>
      </w:r>
      <w:r w:rsidR="002665F0" w:rsidRPr="003A7C3F">
        <w:rPr>
          <w:rFonts w:ascii="Arial" w:hAnsi="Arial" w:cs="Arial"/>
          <w:sz w:val="20"/>
        </w:rPr>
        <w:t>4</w:t>
      </w:r>
      <w:r w:rsidRPr="003A7C3F">
        <w:rPr>
          <w:rFonts w:ascii="Arial" w:hAnsi="Arial" w:cs="Arial"/>
          <w:sz w:val="20"/>
        </w:rPr>
        <w:t xml:space="preserve"> </w:t>
      </w:r>
      <w:r w:rsidR="00D049CA" w:rsidRPr="003A7C3F">
        <w:rPr>
          <w:rFonts w:ascii="Arial" w:hAnsi="Arial" w:cs="Arial"/>
          <w:sz w:val="20"/>
        </w:rPr>
        <w:t xml:space="preserve">it was agreed that </w:t>
      </w:r>
      <w:r w:rsidR="002665F0" w:rsidRPr="003A7C3F">
        <w:rPr>
          <w:rFonts w:ascii="Arial" w:hAnsi="Arial" w:cs="Arial"/>
          <w:sz w:val="20"/>
        </w:rPr>
        <w:t>“</w:t>
      </w:r>
      <w:r w:rsidR="00897751" w:rsidRPr="00F00E98">
        <w:rPr>
          <w:rFonts w:ascii="Arial" w:hAnsi="Arial" w:cs="Arial"/>
          <w:i/>
          <w:sz w:val="20"/>
          <w:lang w:val="en-US"/>
        </w:rPr>
        <w:t>3GPP’s IMT-2020 self-evaluations towards mMTC requirements will assess NB-IoT and/or LTE eMTC</w:t>
      </w:r>
      <w:r w:rsidR="002665F0" w:rsidRPr="003A7C3F">
        <w:rPr>
          <w:rFonts w:ascii="Arial" w:hAnsi="Arial" w:cs="Arial"/>
          <w:sz w:val="20"/>
          <w:lang w:val="en-US"/>
        </w:rPr>
        <w:t>”</w:t>
      </w:r>
      <w:r w:rsidR="00D049CA" w:rsidRPr="003A7C3F">
        <w:rPr>
          <w:rFonts w:ascii="Arial" w:hAnsi="Arial" w:cs="Arial"/>
          <w:sz w:val="20"/>
          <w:lang w:val="en-US"/>
        </w:rPr>
        <w:t xml:space="preserve"> </w:t>
      </w:r>
      <w:r w:rsidR="00D049CA" w:rsidRPr="003A7C3F">
        <w:rPr>
          <w:rFonts w:ascii="Arial" w:hAnsi="Arial" w:cs="Arial"/>
          <w:sz w:val="20"/>
          <w:lang w:val="en-US"/>
        </w:rPr>
        <w:fldChar w:fldCharType="begin"/>
      </w:r>
      <w:r w:rsidR="00D049CA" w:rsidRPr="003A7C3F">
        <w:rPr>
          <w:rFonts w:ascii="Arial" w:hAnsi="Arial" w:cs="Arial"/>
          <w:sz w:val="20"/>
          <w:lang w:val="en-US"/>
        </w:rPr>
        <w:instrText xml:space="preserve"> REF _Ref471288572 \r \h </w:instrText>
      </w:r>
      <w:r w:rsidR="003A7C3F">
        <w:rPr>
          <w:rFonts w:ascii="Arial" w:hAnsi="Arial" w:cs="Arial"/>
          <w:sz w:val="20"/>
          <w:lang w:val="en-US"/>
        </w:rPr>
        <w:instrText xml:space="preserve"> \* MERGEFORMAT </w:instrText>
      </w:r>
      <w:r w:rsidR="00D049CA" w:rsidRPr="003A7C3F">
        <w:rPr>
          <w:rFonts w:ascii="Arial" w:hAnsi="Arial" w:cs="Arial"/>
          <w:sz w:val="20"/>
          <w:lang w:val="en-US"/>
        </w:rPr>
      </w:r>
      <w:r w:rsidR="00D049CA" w:rsidRPr="003A7C3F">
        <w:rPr>
          <w:rFonts w:ascii="Arial" w:hAnsi="Arial" w:cs="Arial"/>
          <w:sz w:val="20"/>
          <w:lang w:val="en-US"/>
        </w:rPr>
        <w:fldChar w:fldCharType="separate"/>
      </w:r>
      <w:r w:rsidR="00140E5C">
        <w:rPr>
          <w:rFonts w:ascii="Arial" w:hAnsi="Arial" w:cs="Arial"/>
          <w:sz w:val="20"/>
          <w:lang w:val="en-US"/>
        </w:rPr>
        <w:t>[1]</w:t>
      </w:r>
      <w:r w:rsidR="00D049CA" w:rsidRPr="003A7C3F">
        <w:rPr>
          <w:rFonts w:ascii="Arial" w:hAnsi="Arial" w:cs="Arial"/>
          <w:sz w:val="20"/>
          <w:lang w:val="en-US"/>
        </w:rPr>
        <w:fldChar w:fldCharType="end"/>
      </w:r>
      <w:r w:rsidR="00D049CA" w:rsidRPr="003A7C3F">
        <w:rPr>
          <w:rFonts w:ascii="Arial" w:hAnsi="Arial" w:cs="Arial"/>
          <w:sz w:val="20"/>
          <w:lang w:val="en-US"/>
        </w:rPr>
        <w:t>. It is</w:t>
      </w:r>
      <w:r w:rsidR="00B23183" w:rsidRPr="003A7C3F">
        <w:rPr>
          <w:rFonts w:ascii="Arial" w:hAnsi="Arial" w:cs="Arial"/>
          <w:sz w:val="20"/>
          <w:lang w:val="en-US"/>
        </w:rPr>
        <w:t xml:space="preserve"> therefore</w:t>
      </w:r>
      <w:r w:rsidR="00D049CA" w:rsidRPr="003A7C3F">
        <w:rPr>
          <w:rFonts w:ascii="Arial" w:hAnsi="Arial" w:cs="Arial"/>
          <w:sz w:val="20"/>
          <w:lang w:val="en-US"/>
        </w:rPr>
        <w:t xml:space="preserve"> foreseen that</w:t>
      </w:r>
      <w:r w:rsidR="00D97D46">
        <w:rPr>
          <w:rFonts w:ascii="Arial" w:hAnsi="Arial" w:cs="Arial"/>
          <w:sz w:val="20"/>
          <w:lang w:val="en-US"/>
        </w:rPr>
        <w:t xml:space="preserve"> 3GPP will need to start Release 15 studies</w:t>
      </w:r>
      <w:r w:rsidR="0096386D" w:rsidRPr="003A7C3F">
        <w:rPr>
          <w:rFonts w:ascii="Arial" w:hAnsi="Arial" w:cs="Arial"/>
          <w:sz w:val="20"/>
          <w:lang w:val="en-US"/>
        </w:rPr>
        <w:t xml:space="preserve"> on</w:t>
      </w:r>
      <w:r w:rsidR="00B23183" w:rsidRPr="003A7C3F">
        <w:rPr>
          <w:rFonts w:ascii="Arial" w:hAnsi="Arial" w:cs="Arial"/>
          <w:sz w:val="20"/>
          <w:lang w:val="en-US"/>
        </w:rPr>
        <w:t xml:space="preserve"> the NB-IoT/eMTC fulfillment of the mMTC set of requirements.</w:t>
      </w:r>
    </w:p>
    <w:p w14:paraId="70274CE3" w14:textId="69806C1D" w:rsidR="00517F9E" w:rsidRPr="00D97D46" w:rsidRDefault="00B272D2" w:rsidP="00517F9E">
      <w:pPr>
        <w:pStyle w:val="BodyText"/>
        <w:rPr>
          <w:rFonts w:ascii="Arial" w:hAnsi="Arial" w:cs="Arial"/>
          <w:sz w:val="20"/>
        </w:rPr>
      </w:pPr>
      <w:r w:rsidRPr="00D97D46">
        <w:rPr>
          <w:rFonts w:ascii="Arial" w:hAnsi="Arial" w:cs="Arial"/>
          <w:sz w:val="20"/>
        </w:rPr>
        <w:t>Technical R</w:t>
      </w:r>
      <w:r w:rsidR="002B7260" w:rsidRPr="00D97D46">
        <w:rPr>
          <w:rFonts w:ascii="Arial" w:hAnsi="Arial" w:cs="Arial"/>
          <w:sz w:val="20"/>
        </w:rPr>
        <w:t xml:space="preserve">eport </w:t>
      </w:r>
      <w:r w:rsidRPr="00D97D46">
        <w:rPr>
          <w:rFonts w:ascii="Arial" w:hAnsi="Arial" w:cs="Arial"/>
          <w:sz w:val="20"/>
        </w:rPr>
        <w:t>(</w:t>
      </w:r>
      <w:r w:rsidR="00282882" w:rsidRPr="00D97D46">
        <w:rPr>
          <w:rFonts w:ascii="Arial" w:hAnsi="Arial" w:cs="Arial"/>
          <w:sz w:val="20"/>
        </w:rPr>
        <w:t>TR</w:t>
      </w:r>
      <w:r w:rsidRPr="00D97D46">
        <w:rPr>
          <w:rFonts w:ascii="Arial" w:hAnsi="Arial" w:cs="Arial"/>
          <w:sz w:val="20"/>
        </w:rPr>
        <w:t>)</w:t>
      </w:r>
      <w:r w:rsidR="00282882" w:rsidRPr="00D97D46">
        <w:rPr>
          <w:rFonts w:ascii="Arial" w:hAnsi="Arial" w:cs="Arial"/>
          <w:sz w:val="20"/>
        </w:rPr>
        <w:t xml:space="preserve"> 38.913 </w:t>
      </w:r>
      <w:r w:rsidR="002B7260" w:rsidRPr="00D97D46">
        <w:rPr>
          <w:rFonts w:ascii="Arial" w:hAnsi="Arial" w:cs="Arial"/>
          <w:i/>
          <w:sz w:val="20"/>
        </w:rPr>
        <w:t>Study on Scenarios and Requirements for Next Generation Access Technologies</w:t>
      </w:r>
      <w:r w:rsidRPr="00D97D46">
        <w:rPr>
          <w:rFonts w:ascii="Arial" w:hAnsi="Arial" w:cs="Arial"/>
          <w:sz w:val="20"/>
        </w:rPr>
        <w:t xml:space="preserve"> </w:t>
      </w:r>
      <w:r w:rsidRPr="00D97D46">
        <w:rPr>
          <w:rFonts w:ascii="Arial" w:hAnsi="Arial" w:cs="Arial"/>
          <w:sz w:val="20"/>
        </w:rPr>
        <w:fldChar w:fldCharType="begin"/>
      </w:r>
      <w:r w:rsidRPr="00D97D46">
        <w:rPr>
          <w:rFonts w:ascii="Arial" w:hAnsi="Arial" w:cs="Arial"/>
          <w:sz w:val="20"/>
        </w:rPr>
        <w:instrText xml:space="preserve"> REF _Ref471289618 \r \h </w:instrText>
      </w:r>
      <w:r w:rsidR="003A7C3F" w:rsidRPr="00D97D46">
        <w:rPr>
          <w:rFonts w:ascii="Arial" w:hAnsi="Arial" w:cs="Arial"/>
          <w:sz w:val="20"/>
        </w:rPr>
        <w:instrText xml:space="preserve"> \* MERGEFORMAT </w:instrText>
      </w:r>
      <w:r w:rsidRPr="00D97D46">
        <w:rPr>
          <w:rFonts w:ascii="Arial" w:hAnsi="Arial" w:cs="Arial"/>
          <w:sz w:val="20"/>
        </w:rPr>
      </w:r>
      <w:r w:rsidRPr="00D97D46">
        <w:rPr>
          <w:rFonts w:ascii="Arial" w:hAnsi="Arial" w:cs="Arial"/>
          <w:sz w:val="20"/>
        </w:rPr>
        <w:fldChar w:fldCharType="separate"/>
      </w:r>
      <w:r w:rsidR="00140E5C">
        <w:rPr>
          <w:rFonts w:ascii="Arial" w:hAnsi="Arial" w:cs="Arial"/>
          <w:sz w:val="20"/>
        </w:rPr>
        <w:t>[2]</w:t>
      </w:r>
      <w:r w:rsidRPr="00D97D46">
        <w:rPr>
          <w:rFonts w:ascii="Arial" w:hAnsi="Arial" w:cs="Arial"/>
          <w:sz w:val="20"/>
        </w:rPr>
        <w:fldChar w:fldCharType="end"/>
      </w:r>
      <w:r w:rsidRPr="00D97D46">
        <w:rPr>
          <w:rFonts w:ascii="Arial" w:hAnsi="Arial" w:cs="Arial"/>
          <w:sz w:val="20"/>
        </w:rPr>
        <w:t xml:space="preserve"> identifies four key </w:t>
      </w:r>
      <w:r w:rsidR="00517F9E" w:rsidRPr="00D97D46">
        <w:rPr>
          <w:rFonts w:ascii="Arial" w:hAnsi="Arial" w:cs="Arial"/>
          <w:sz w:val="20"/>
        </w:rPr>
        <w:t>performance indicators for mMTC, namely:</w:t>
      </w:r>
    </w:p>
    <w:p w14:paraId="213E7261" w14:textId="4FEE6982" w:rsidR="00517F9E" w:rsidRPr="00D97D46" w:rsidRDefault="00517F9E" w:rsidP="00517F9E">
      <w:pPr>
        <w:pStyle w:val="BodyText"/>
        <w:numPr>
          <w:ilvl w:val="0"/>
          <w:numId w:val="48"/>
        </w:numPr>
        <w:rPr>
          <w:rFonts w:ascii="Arial" w:hAnsi="Arial" w:cs="Arial"/>
          <w:sz w:val="20"/>
          <w:lang w:eastAsia="ja-JP"/>
        </w:rPr>
      </w:pPr>
      <w:r w:rsidRPr="00D97D46">
        <w:rPr>
          <w:rFonts w:ascii="Arial" w:hAnsi="Arial" w:cs="Arial"/>
          <w:sz w:val="20"/>
          <w:lang w:eastAsia="ja-JP"/>
        </w:rPr>
        <w:t xml:space="preserve">Support latency of at least 10 seconds. </w:t>
      </w:r>
    </w:p>
    <w:p w14:paraId="597EA4FF" w14:textId="7B22DBF6" w:rsidR="00517F9E" w:rsidRPr="00D97D46" w:rsidRDefault="00517F9E" w:rsidP="00517F9E">
      <w:pPr>
        <w:pStyle w:val="BodyText"/>
        <w:numPr>
          <w:ilvl w:val="0"/>
          <w:numId w:val="48"/>
        </w:numPr>
        <w:rPr>
          <w:rFonts w:ascii="Arial" w:hAnsi="Arial" w:cs="Arial"/>
          <w:sz w:val="20"/>
          <w:lang w:eastAsia="ja-JP"/>
        </w:rPr>
      </w:pPr>
      <w:r w:rsidRPr="00D97D46">
        <w:rPr>
          <w:rFonts w:ascii="Arial" w:hAnsi="Arial" w:cs="Arial"/>
          <w:sz w:val="20"/>
          <w:lang w:eastAsia="ja-JP"/>
        </w:rPr>
        <w:t>Support coverage of 164 dB Maximum Coupling Loss (MCL).</w:t>
      </w:r>
    </w:p>
    <w:p w14:paraId="647FAF4E" w14:textId="2722BE45" w:rsidR="00517F9E" w:rsidRPr="00D97D46" w:rsidRDefault="00517F9E" w:rsidP="00517F9E">
      <w:pPr>
        <w:pStyle w:val="BodyText"/>
        <w:numPr>
          <w:ilvl w:val="0"/>
          <w:numId w:val="48"/>
        </w:numPr>
        <w:rPr>
          <w:rFonts w:ascii="Arial" w:hAnsi="Arial" w:cs="Arial"/>
          <w:sz w:val="20"/>
          <w:lang w:eastAsia="ja-JP"/>
        </w:rPr>
      </w:pPr>
      <w:r w:rsidRPr="00D97D46">
        <w:rPr>
          <w:rFonts w:ascii="Arial" w:hAnsi="Arial" w:cs="Arial"/>
          <w:sz w:val="20"/>
          <w:lang w:eastAsia="ja-JP"/>
        </w:rPr>
        <w:t>Support UE battery life beyond 10 years.</w:t>
      </w:r>
    </w:p>
    <w:p w14:paraId="03F24AEE" w14:textId="23AABEAB" w:rsidR="00517F9E" w:rsidRPr="00D97D46" w:rsidRDefault="00517F9E" w:rsidP="00517F9E">
      <w:pPr>
        <w:pStyle w:val="BodyText"/>
        <w:numPr>
          <w:ilvl w:val="0"/>
          <w:numId w:val="48"/>
        </w:numPr>
        <w:rPr>
          <w:rFonts w:ascii="Arial" w:hAnsi="Arial" w:cs="Arial"/>
          <w:sz w:val="20"/>
        </w:rPr>
      </w:pPr>
      <w:r w:rsidRPr="00D97D46">
        <w:rPr>
          <w:rFonts w:ascii="Arial" w:hAnsi="Arial" w:cs="Arial"/>
          <w:sz w:val="20"/>
          <w:lang w:eastAsia="ja-JP"/>
        </w:rPr>
        <w:t>Support connection density of 1</w:t>
      </w:r>
      <w:r w:rsidR="005E0017">
        <w:rPr>
          <w:rFonts w:ascii="Arial" w:hAnsi="Arial" w:cs="Arial"/>
          <w:sz w:val="20"/>
          <w:lang w:eastAsia="ja-JP"/>
        </w:rPr>
        <w:t xml:space="preserve"> </w:t>
      </w:r>
      <w:r w:rsidRPr="00D97D46">
        <w:rPr>
          <w:rFonts w:ascii="Arial" w:hAnsi="Arial" w:cs="Arial"/>
          <w:sz w:val="20"/>
          <w:lang w:eastAsia="ja-JP"/>
        </w:rPr>
        <w:t>000</w:t>
      </w:r>
      <w:r w:rsidR="005E0017">
        <w:rPr>
          <w:rFonts w:ascii="Arial" w:hAnsi="Arial" w:cs="Arial"/>
          <w:sz w:val="20"/>
          <w:lang w:eastAsia="ja-JP"/>
        </w:rPr>
        <w:t xml:space="preserve"> </w:t>
      </w:r>
      <w:r w:rsidRPr="00D97D46">
        <w:rPr>
          <w:rFonts w:ascii="Arial" w:hAnsi="Arial" w:cs="Arial"/>
          <w:sz w:val="20"/>
          <w:lang w:eastAsia="ja-JP"/>
        </w:rPr>
        <w:t>000 devices per square km.</w:t>
      </w:r>
    </w:p>
    <w:p w14:paraId="7CDA9749" w14:textId="66D0BFBE" w:rsidR="00517F9E" w:rsidRPr="00D97D46" w:rsidRDefault="00517F9E" w:rsidP="003A2944">
      <w:pPr>
        <w:pStyle w:val="BodyText"/>
        <w:rPr>
          <w:rFonts w:ascii="Arial" w:hAnsi="Arial" w:cs="Arial"/>
          <w:sz w:val="20"/>
        </w:rPr>
      </w:pPr>
      <w:r w:rsidRPr="00D97D46">
        <w:rPr>
          <w:rFonts w:ascii="Arial" w:hAnsi="Arial" w:cs="Arial"/>
          <w:sz w:val="20"/>
        </w:rPr>
        <w:t xml:space="preserve">In this contribution we focus on the </w:t>
      </w:r>
      <w:r w:rsidR="00A07163">
        <w:rPr>
          <w:rFonts w:ascii="Arial" w:hAnsi="Arial" w:cs="Arial"/>
          <w:sz w:val="20"/>
          <w:lang w:eastAsia="ja-JP"/>
        </w:rPr>
        <w:t>c</w:t>
      </w:r>
      <w:r w:rsidR="00D97D46" w:rsidRPr="00D97D46">
        <w:rPr>
          <w:rFonts w:ascii="Arial" w:hAnsi="Arial" w:cs="Arial"/>
          <w:sz w:val="20"/>
          <w:lang w:eastAsia="ja-JP"/>
        </w:rPr>
        <w:t>onnection density</w:t>
      </w:r>
      <w:r w:rsidR="00D03783">
        <w:rPr>
          <w:rFonts w:ascii="Arial" w:hAnsi="Arial" w:cs="Arial"/>
          <w:sz w:val="20"/>
        </w:rPr>
        <w:t xml:space="preserve"> key performance indicator</w:t>
      </w:r>
      <w:r w:rsidR="00D97D46" w:rsidRPr="00D97D46">
        <w:rPr>
          <w:rFonts w:ascii="Arial" w:hAnsi="Arial" w:cs="Arial"/>
          <w:sz w:val="20"/>
        </w:rPr>
        <w:t xml:space="preserve"> captured in chapter 7</w:t>
      </w:r>
      <w:r w:rsidRPr="00D97D46">
        <w:rPr>
          <w:rFonts w:ascii="Arial" w:hAnsi="Arial" w:cs="Arial"/>
          <w:sz w:val="20"/>
        </w:rPr>
        <w:t>.</w:t>
      </w:r>
      <w:r w:rsidR="00D97D46" w:rsidRPr="00D97D46">
        <w:rPr>
          <w:rFonts w:ascii="Arial" w:hAnsi="Arial" w:cs="Arial"/>
          <w:sz w:val="20"/>
        </w:rPr>
        <w:t>1</w:t>
      </w:r>
      <w:r w:rsidRPr="00D97D46">
        <w:rPr>
          <w:rFonts w:ascii="Arial" w:hAnsi="Arial" w:cs="Arial"/>
          <w:sz w:val="20"/>
        </w:rPr>
        <w:t>7 of TR 38.913:</w:t>
      </w:r>
    </w:p>
    <w:p w14:paraId="10C166D2" w14:textId="77777777" w:rsidR="00D97D46" w:rsidRPr="00D97D46" w:rsidRDefault="00517F9E" w:rsidP="00D97D46">
      <w:pPr>
        <w:rPr>
          <w:rFonts w:ascii="Arial" w:hAnsi="Arial" w:cs="Arial"/>
          <w:i/>
          <w:sz w:val="20"/>
        </w:rPr>
      </w:pPr>
      <w:r w:rsidRPr="00D97D46">
        <w:rPr>
          <w:rFonts w:ascii="Arial" w:hAnsi="Arial" w:cs="Arial"/>
          <w:sz w:val="20"/>
          <w:lang w:val="en-US"/>
        </w:rPr>
        <w:t xml:space="preserve"> </w:t>
      </w:r>
      <w:r w:rsidR="00282882" w:rsidRPr="00D97D46">
        <w:rPr>
          <w:rFonts w:ascii="Arial" w:hAnsi="Arial" w:cs="Arial"/>
          <w:sz w:val="20"/>
          <w:lang w:val="en-US"/>
        </w:rPr>
        <w:t>“</w:t>
      </w:r>
      <w:bookmarkEnd w:id="3"/>
      <w:r w:rsidR="00D97D46" w:rsidRPr="00D97D46">
        <w:rPr>
          <w:rFonts w:ascii="Arial" w:eastAsia="MS Mincho" w:hAnsi="Arial" w:cs="Arial"/>
          <w:bCs/>
          <w:i/>
          <w:sz w:val="20"/>
          <w:lang w:val="en-US" w:eastAsia="ja-JP"/>
        </w:rPr>
        <w:t>Connection density refers to total number of devices fulfilling a target QoS per unit area (per km</w:t>
      </w:r>
      <w:r w:rsidR="00D97D46" w:rsidRPr="00D97D46">
        <w:rPr>
          <w:rFonts w:ascii="Arial" w:eastAsia="MS Mincho" w:hAnsi="Arial" w:cs="Arial"/>
          <w:bCs/>
          <w:i/>
          <w:sz w:val="20"/>
          <w:vertAlign w:val="superscript"/>
          <w:lang w:val="en-US" w:eastAsia="ja-JP"/>
        </w:rPr>
        <w:t>2</w:t>
      </w:r>
      <w:r w:rsidR="00D97D46" w:rsidRPr="00D97D46">
        <w:rPr>
          <w:rFonts w:ascii="Arial" w:eastAsia="MS Mincho" w:hAnsi="Arial" w:cs="Arial"/>
          <w:bCs/>
          <w:i/>
          <w:sz w:val="20"/>
          <w:lang w:val="en-US" w:eastAsia="ja-JP"/>
        </w:rPr>
        <w:t>), where the target QoS is to ensure a system packet drop rate less than 1% under given packet arrival rate l and packet size S. Packet drop rate = (Number of packet in outage) / (number of generated packets), where a packet is in outage if this packet failed to be successfully received by destination receiver beyond packet dropping timer.</w:t>
      </w:r>
    </w:p>
    <w:p w14:paraId="66924AFF" w14:textId="77777777" w:rsidR="00D97D46" w:rsidRPr="00D97D46" w:rsidRDefault="00D97D46" w:rsidP="00D97D46">
      <w:pPr>
        <w:rPr>
          <w:rFonts w:ascii="Arial" w:hAnsi="Arial" w:cs="Arial"/>
          <w:i/>
          <w:sz w:val="20"/>
        </w:rPr>
      </w:pPr>
      <w:r w:rsidRPr="00D97D46">
        <w:rPr>
          <w:rFonts w:ascii="Arial" w:hAnsi="Arial" w:cs="Arial"/>
          <w:i/>
          <w:sz w:val="20"/>
        </w:rPr>
        <w:t>The target for connection density should be 1 000 000 device/km</w:t>
      </w:r>
      <w:r w:rsidRPr="00D97D46">
        <w:rPr>
          <w:rFonts w:ascii="Arial" w:hAnsi="Arial" w:cs="Arial"/>
          <w:i/>
          <w:sz w:val="20"/>
          <w:vertAlign w:val="superscript"/>
        </w:rPr>
        <w:t>2</w:t>
      </w:r>
      <w:r w:rsidRPr="00D97D46">
        <w:rPr>
          <w:rFonts w:ascii="Arial" w:hAnsi="Arial" w:cs="Arial"/>
          <w:i/>
          <w:sz w:val="20"/>
        </w:rPr>
        <w:t xml:space="preserve"> in urban environment.</w:t>
      </w:r>
    </w:p>
    <w:p w14:paraId="15540822" w14:textId="77777777" w:rsidR="00D97D46" w:rsidRPr="00D97D46" w:rsidRDefault="00D97D46" w:rsidP="00D97D46">
      <w:pPr>
        <w:rPr>
          <w:rFonts w:ascii="Arial" w:hAnsi="Arial" w:cs="Arial"/>
          <w:i/>
          <w:sz w:val="20"/>
        </w:rPr>
      </w:pPr>
      <w:r w:rsidRPr="00D97D46">
        <w:rPr>
          <w:rFonts w:ascii="Arial" w:hAnsi="Arial" w:cs="Arial"/>
          <w:i/>
          <w:sz w:val="20"/>
        </w:rPr>
        <w:t>3GPP should develop standards with means of high connection efficiency (measured as supported number of devices per TRPx per unit frequency resource) to achieve the desired connection density.</w:t>
      </w:r>
      <w:r w:rsidRPr="00D97D46">
        <w:rPr>
          <w:rFonts w:ascii="Arial" w:eastAsia="MS Mincho" w:hAnsi="Arial" w:cs="Arial"/>
          <w:i/>
          <w:sz w:val="20"/>
          <w:lang w:eastAsia="ja-JP"/>
        </w:rPr>
        <w:t xml:space="preserve"> </w:t>
      </w:r>
    </w:p>
    <w:p w14:paraId="4A686D98" w14:textId="19D7C2CD" w:rsidR="009A29BB" w:rsidRPr="00D97D46" w:rsidRDefault="00D97D46" w:rsidP="00D97D46">
      <w:pPr>
        <w:rPr>
          <w:rFonts w:ascii="Arial" w:hAnsi="Arial" w:cs="Arial"/>
          <w:i/>
          <w:sz w:val="20"/>
        </w:rPr>
      </w:pPr>
      <w:r w:rsidRPr="00D97D46">
        <w:rPr>
          <w:rFonts w:ascii="Arial" w:eastAsia="MS Mincho" w:hAnsi="Arial" w:cs="Arial"/>
          <w:i/>
          <w:sz w:val="20"/>
          <w:lang w:eastAsia="ja-JP"/>
        </w:rPr>
        <w:t>Analytical, link level evaluation and system level evaluation are to be performed for Urban coverage for massive connection (Urban environment)</w:t>
      </w:r>
      <w:r w:rsidR="009A29BB" w:rsidRPr="00D97D46">
        <w:rPr>
          <w:rFonts w:ascii="Arial" w:hAnsi="Arial" w:cs="Arial"/>
          <w:i/>
          <w:sz w:val="20"/>
          <w:lang w:val="en-US"/>
        </w:rPr>
        <w:t>.</w:t>
      </w:r>
      <w:r w:rsidR="0072683E" w:rsidRPr="00D97D46">
        <w:rPr>
          <w:rFonts w:ascii="Arial" w:hAnsi="Arial" w:cs="Arial"/>
          <w:i/>
          <w:sz w:val="20"/>
          <w:lang w:val="en-US"/>
        </w:rPr>
        <w:t>”</w:t>
      </w:r>
    </w:p>
    <w:p w14:paraId="1DE99D66" w14:textId="5A3CD02D" w:rsidR="00517F9E" w:rsidRPr="00D97D46" w:rsidRDefault="00517F9E" w:rsidP="009A29BB">
      <w:pPr>
        <w:spacing w:after="180"/>
        <w:jc w:val="left"/>
        <w:rPr>
          <w:rFonts w:ascii="Arial" w:hAnsi="Arial" w:cs="Arial"/>
          <w:sz w:val="20"/>
          <w:lang w:val="en-US"/>
        </w:rPr>
      </w:pPr>
      <w:r w:rsidRPr="00D97D46">
        <w:rPr>
          <w:rFonts w:ascii="Arial" w:hAnsi="Arial" w:cs="Arial"/>
          <w:sz w:val="20"/>
          <w:lang w:val="en-US"/>
        </w:rPr>
        <w:t xml:space="preserve">More specifically the purpose of this paper is to propose </w:t>
      </w:r>
      <w:r w:rsidR="009434C5">
        <w:rPr>
          <w:rFonts w:ascii="Arial" w:hAnsi="Arial" w:cs="Arial"/>
          <w:sz w:val="20"/>
          <w:lang w:val="en-US"/>
        </w:rPr>
        <w:t>a system level</w:t>
      </w:r>
      <w:r w:rsidR="00D03783">
        <w:rPr>
          <w:rFonts w:ascii="Arial" w:hAnsi="Arial" w:cs="Arial"/>
          <w:sz w:val="20"/>
          <w:lang w:val="en-US"/>
        </w:rPr>
        <w:t xml:space="preserve"> evaluation methodology</w:t>
      </w:r>
      <w:r w:rsidRPr="00D97D46">
        <w:rPr>
          <w:rFonts w:ascii="Arial" w:hAnsi="Arial" w:cs="Arial"/>
          <w:sz w:val="20"/>
          <w:lang w:val="en-US"/>
        </w:rPr>
        <w:t xml:space="preserve"> that can be used in the IMT-2020 mMTC self-evaluation. We also present preliminary results for NB-IoT</w:t>
      </w:r>
      <w:r w:rsidR="00D97D46">
        <w:rPr>
          <w:rFonts w:ascii="Arial" w:hAnsi="Arial" w:cs="Arial"/>
          <w:sz w:val="20"/>
          <w:lang w:val="en-US"/>
        </w:rPr>
        <w:t xml:space="preserve"> and eMTC</w:t>
      </w:r>
      <w:r w:rsidRPr="00D97D46">
        <w:rPr>
          <w:rFonts w:ascii="Arial" w:hAnsi="Arial" w:cs="Arial"/>
          <w:sz w:val="20"/>
          <w:lang w:val="en-US"/>
        </w:rPr>
        <w:t xml:space="preserve"> using the suggested evaluation approach.</w:t>
      </w:r>
      <w:r w:rsidR="006B6A7A" w:rsidRPr="00D97D46">
        <w:rPr>
          <w:rFonts w:ascii="Arial" w:hAnsi="Arial" w:cs="Arial"/>
          <w:sz w:val="20"/>
          <w:lang w:val="en-US"/>
        </w:rPr>
        <w:t xml:space="preserve"> Chapter 2 </w:t>
      </w:r>
      <w:r w:rsidR="00D03783">
        <w:rPr>
          <w:rFonts w:ascii="Arial" w:hAnsi="Arial" w:cs="Arial"/>
          <w:sz w:val="20"/>
          <w:lang w:val="en-US"/>
        </w:rPr>
        <w:t>lists</w:t>
      </w:r>
      <w:r w:rsidR="006B6A7A" w:rsidRPr="00D97D46">
        <w:rPr>
          <w:rFonts w:ascii="Arial" w:hAnsi="Arial" w:cs="Arial"/>
          <w:sz w:val="20"/>
          <w:lang w:val="en-US"/>
        </w:rPr>
        <w:t xml:space="preserve"> </w:t>
      </w:r>
      <w:r w:rsidR="00330FBB">
        <w:rPr>
          <w:rFonts w:ascii="Arial" w:hAnsi="Arial" w:cs="Arial"/>
          <w:sz w:val="20"/>
          <w:lang w:val="en-US"/>
        </w:rPr>
        <w:t xml:space="preserve">already made agreements and </w:t>
      </w:r>
      <w:r w:rsidR="006B6A7A" w:rsidRPr="00D97D46">
        <w:rPr>
          <w:rFonts w:ascii="Arial" w:hAnsi="Arial" w:cs="Arial"/>
          <w:sz w:val="20"/>
          <w:lang w:val="en-US"/>
        </w:rPr>
        <w:t>a</w:t>
      </w:r>
      <w:r w:rsidR="00330FBB">
        <w:rPr>
          <w:rFonts w:ascii="Arial" w:hAnsi="Arial" w:cs="Arial"/>
          <w:sz w:val="20"/>
          <w:lang w:val="en-US"/>
        </w:rPr>
        <w:t xml:space="preserve"> set of proposals defining the proposed </w:t>
      </w:r>
      <w:r w:rsidR="006B6A7A" w:rsidRPr="00D97D46">
        <w:rPr>
          <w:rFonts w:ascii="Arial" w:hAnsi="Arial" w:cs="Arial"/>
          <w:sz w:val="20"/>
          <w:lang w:val="en-US"/>
        </w:rPr>
        <w:t xml:space="preserve">methodology while chapter 3 exemplifies the use </w:t>
      </w:r>
      <w:r w:rsidR="00330FBB">
        <w:rPr>
          <w:rFonts w:ascii="Arial" w:hAnsi="Arial" w:cs="Arial"/>
          <w:sz w:val="20"/>
          <w:lang w:val="en-US"/>
        </w:rPr>
        <w:t>of the</w:t>
      </w:r>
      <w:r w:rsidR="006B6A7A" w:rsidRPr="00D97D46">
        <w:rPr>
          <w:rFonts w:ascii="Arial" w:hAnsi="Arial" w:cs="Arial"/>
          <w:sz w:val="20"/>
          <w:lang w:val="en-US"/>
        </w:rPr>
        <w:t xml:space="preserve"> methodology.</w:t>
      </w:r>
    </w:p>
    <w:p w14:paraId="5B077DC9" w14:textId="2FB89E95" w:rsidR="001B4C46" w:rsidRDefault="00A77026" w:rsidP="001B4C46">
      <w:pPr>
        <w:pStyle w:val="Heading1"/>
      </w:pPr>
      <w:bookmarkStart w:id="4" w:name="_Ref474694644"/>
      <w:r>
        <w:t xml:space="preserve">Evaluation </w:t>
      </w:r>
      <w:r w:rsidR="001B740F">
        <w:t>methodology</w:t>
      </w:r>
      <w:bookmarkEnd w:id="4"/>
    </w:p>
    <w:p w14:paraId="48D7D50E" w14:textId="5F03D33E" w:rsidR="00D01723" w:rsidRDefault="00813B2A" w:rsidP="00D01723">
      <w:pPr>
        <w:pStyle w:val="Heading3"/>
        <w:ind w:left="1134" w:hanging="1134"/>
        <w:rPr>
          <w:rFonts w:eastAsia="Times New Roman" w:cs="Times New Roman"/>
          <w:szCs w:val="20"/>
        </w:rPr>
      </w:pPr>
      <w:r>
        <w:rPr>
          <w:rFonts w:eastAsia="Times New Roman" w:cs="Times New Roman"/>
          <w:szCs w:val="20"/>
        </w:rPr>
        <w:t>Traffic model</w:t>
      </w:r>
    </w:p>
    <w:p w14:paraId="1297A78F" w14:textId="39897377" w:rsidR="00EB448F" w:rsidRDefault="00EB448F" w:rsidP="00EB448F">
      <w:pPr>
        <w:rPr>
          <w:rFonts w:ascii="Arial" w:hAnsi="Arial" w:cs="Arial"/>
          <w:sz w:val="20"/>
        </w:rPr>
      </w:pPr>
      <w:r>
        <w:rPr>
          <w:rFonts w:ascii="Arial" w:hAnsi="Arial" w:cs="Arial"/>
          <w:sz w:val="20"/>
        </w:rPr>
        <w:t>To perform</w:t>
      </w:r>
      <w:r w:rsidRPr="00EB448F">
        <w:rPr>
          <w:rFonts w:ascii="Arial" w:hAnsi="Arial" w:cs="Arial"/>
          <w:sz w:val="20"/>
        </w:rPr>
        <w:t xml:space="preserve"> the </w:t>
      </w:r>
      <w:r w:rsidR="00947187" w:rsidRPr="00EB448F">
        <w:rPr>
          <w:rFonts w:ascii="Arial" w:hAnsi="Arial" w:cs="Arial"/>
          <w:sz w:val="20"/>
        </w:rPr>
        <w:t>connection density</w:t>
      </w:r>
      <w:r w:rsidR="00947187">
        <w:rPr>
          <w:rFonts w:ascii="Arial" w:hAnsi="Arial" w:cs="Arial"/>
          <w:sz w:val="20"/>
        </w:rPr>
        <w:t xml:space="preserve"> </w:t>
      </w:r>
      <w:r w:rsidRPr="00EB448F">
        <w:rPr>
          <w:rFonts w:ascii="Arial" w:hAnsi="Arial" w:cs="Arial"/>
          <w:sz w:val="20"/>
        </w:rPr>
        <w:t xml:space="preserve">evaluation </w:t>
      </w:r>
      <w:r>
        <w:rPr>
          <w:rFonts w:ascii="Arial" w:hAnsi="Arial" w:cs="Arial"/>
          <w:sz w:val="20"/>
        </w:rPr>
        <w:t>a traffic model needs to be agreed</w:t>
      </w:r>
      <w:r w:rsidRPr="00EB448F">
        <w:rPr>
          <w:rFonts w:ascii="Arial" w:hAnsi="Arial" w:cs="Arial"/>
          <w:sz w:val="20"/>
        </w:rPr>
        <w:t>.</w:t>
      </w:r>
      <w:r>
        <w:rPr>
          <w:rFonts w:ascii="Arial" w:hAnsi="Arial" w:cs="Arial"/>
          <w:sz w:val="20"/>
        </w:rPr>
        <w:t xml:space="preserve"> </w:t>
      </w:r>
      <w:r w:rsidRPr="003A7C3F">
        <w:rPr>
          <w:rFonts w:ascii="Arial" w:hAnsi="Arial" w:cs="Arial"/>
          <w:sz w:val="20"/>
        </w:rPr>
        <w:t xml:space="preserve">During the work on NB-IoT in Release 13 </w:t>
      </w:r>
      <w:r>
        <w:rPr>
          <w:rFonts w:ascii="Arial" w:hAnsi="Arial" w:cs="Arial"/>
          <w:sz w:val="20"/>
        </w:rPr>
        <w:t>system capacity evaluations were</w:t>
      </w:r>
      <w:r w:rsidRPr="003A7C3F">
        <w:rPr>
          <w:rFonts w:ascii="Arial" w:hAnsi="Arial" w:cs="Arial"/>
          <w:sz w:val="20"/>
        </w:rPr>
        <w:t xml:space="preserve"> performed based on the methodology described in the study on </w:t>
      </w:r>
      <w:r w:rsidRPr="00135D26">
        <w:rPr>
          <w:rFonts w:ascii="Arial" w:hAnsi="Arial" w:cs="Arial"/>
          <w:i/>
          <w:sz w:val="20"/>
        </w:rPr>
        <w:t>Cellular system support for ultra-low complexity and low throughput Internet of Things</w:t>
      </w:r>
      <w:r w:rsidR="00461155" w:rsidRPr="00465AC4">
        <w:rPr>
          <w:rFonts w:ascii="Arial" w:hAnsi="Arial" w:cs="Arial"/>
          <w:sz w:val="20"/>
        </w:rPr>
        <w:t>, see TR 4</w:t>
      </w:r>
      <w:r w:rsidR="00461155">
        <w:rPr>
          <w:rFonts w:ascii="Arial" w:hAnsi="Arial" w:cs="Arial"/>
          <w:sz w:val="20"/>
        </w:rPr>
        <w:t>5</w:t>
      </w:r>
      <w:r w:rsidR="00461155" w:rsidRPr="00465AC4">
        <w:rPr>
          <w:rFonts w:ascii="Arial" w:hAnsi="Arial" w:cs="Arial"/>
          <w:sz w:val="20"/>
        </w:rPr>
        <w:t>.820</w:t>
      </w:r>
      <w:r w:rsidRPr="003A7C3F">
        <w:rPr>
          <w:rFonts w:ascii="Arial" w:hAnsi="Arial" w:cs="Arial"/>
          <w:sz w:val="20"/>
        </w:rPr>
        <w:t xml:space="preserve"> </w:t>
      </w:r>
      <w:r w:rsidRPr="003A7C3F">
        <w:rPr>
          <w:rFonts w:ascii="Arial" w:hAnsi="Arial" w:cs="Arial"/>
          <w:sz w:val="20"/>
        </w:rPr>
        <w:fldChar w:fldCharType="begin"/>
      </w:r>
      <w:r w:rsidRPr="003A7C3F">
        <w:rPr>
          <w:rFonts w:ascii="Arial" w:hAnsi="Arial" w:cs="Arial"/>
          <w:sz w:val="20"/>
        </w:rPr>
        <w:instrText xml:space="preserve"> REF _Ref463001619 \r \h </w:instrText>
      </w:r>
      <w:r>
        <w:rPr>
          <w:rFonts w:ascii="Arial" w:hAnsi="Arial" w:cs="Arial"/>
          <w:sz w:val="20"/>
        </w:rPr>
        <w:instrText xml:space="preserve"> \* MERGEFORMAT </w:instrText>
      </w:r>
      <w:r w:rsidRPr="003A7C3F">
        <w:rPr>
          <w:rFonts w:ascii="Arial" w:hAnsi="Arial" w:cs="Arial"/>
          <w:sz w:val="20"/>
        </w:rPr>
      </w:r>
      <w:r w:rsidRPr="003A7C3F">
        <w:rPr>
          <w:rFonts w:ascii="Arial" w:hAnsi="Arial" w:cs="Arial"/>
          <w:sz w:val="20"/>
        </w:rPr>
        <w:fldChar w:fldCharType="separate"/>
      </w:r>
      <w:r w:rsidR="00140E5C">
        <w:rPr>
          <w:rFonts w:ascii="Arial" w:hAnsi="Arial" w:cs="Arial"/>
          <w:sz w:val="20"/>
        </w:rPr>
        <w:t>[3]</w:t>
      </w:r>
      <w:r w:rsidRPr="003A7C3F">
        <w:rPr>
          <w:rFonts w:ascii="Arial" w:hAnsi="Arial" w:cs="Arial"/>
          <w:sz w:val="20"/>
        </w:rPr>
        <w:fldChar w:fldCharType="end"/>
      </w:r>
      <w:r w:rsidRPr="003A7C3F">
        <w:rPr>
          <w:rFonts w:ascii="Arial" w:hAnsi="Arial" w:cs="Arial"/>
          <w:sz w:val="20"/>
        </w:rPr>
        <w:t xml:space="preserve">. </w:t>
      </w:r>
      <w:r>
        <w:rPr>
          <w:rFonts w:ascii="Arial" w:hAnsi="Arial" w:cs="Arial"/>
          <w:sz w:val="20"/>
        </w:rPr>
        <w:t>On</w:t>
      </w:r>
      <w:r w:rsidR="005157B7">
        <w:rPr>
          <w:rFonts w:ascii="Arial" w:hAnsi="Arial" w:cs="Arial"/>
          <w:sz w:val="20"/>
        </w:rPr>
        <w:t>e</w:t>
      </w:r>
      <w:r>
        <w:rPr>
          <w:rFonts w:ascii="Arial" w:hAnsi="Arial" w:cs="Arial"/>
          <w:sz w:val="20"/>
        </w:rPr>
        <w:t xml:space="preserve"> important part of the assumptions used in this study was the traffic model</w:t>
      </w:r>
      <w:r w:rsidR="005157B7">
        <w:rPr>
          <w:rFonts w:ascii="Arial" w:hAnsi="Arial" w:cs="Arial"/>
          <w:sz w:val="20"/>
        </w:rPr>
        <w:t xml:space="preserve"> which was intended to model future </w:t>
      </w:r>
      <w:r w:rsidR="00A31E30">
        <w:rPr>
          <w:rFonts w:ascii="Arial" w:hAnsi="Arial" w:cs="Arial"/>
          <w:sz w:val="20"/>
        </w:rPr>
        <w:t>massive MTC</w:t>
      </w:r>
      <w:r w:rsidR="005157B7">
        <w:rPr>
          <w:rFonts w:ascii="Arial" w:hAnsi="Arial" w:cs="Arial"/>
          <w:sz w:val="20"/>
        </w:rPr>
        <w:t xml:space="preserve"> traffic patterns</w:t>
      </w:r>
      <w:r>
        <w:rPr>
          <w:rFonts w:ascii="Arial" w:hAnsi="Arial" w:cs="Arial"/>
          <w:sz w:val="20"/>
        </w:rPr>
        <w:t>. It contained two type of message transfers; Mobile Autonomous Reporting (MAR) and Network Command (NC).</w:t>
      </w:r>
    </w:p>
    <w:p w14:paraId="0D4E3388" w14:textId="384CFD51" w:rsidR="00BF3361" w:rsidRDefault="00AE5053" w:rsidP="00C62FEA">
      <w:pPr>
        <w:rPr>
          <w:bCs/>
        </w:rPr>
      </w:pPr>
      <w:r>
        <w:rPr>
          <w:rFonts w:ascii="Arial" w:hAnsi="Arial" w:cs="Arial"/>
          <w:sz w:val="20"/>
        </w:rPr>
        <w:t>According to</w:t>
      </w:r>
      <w:r w:rsidR="00EB448F">
        <w:rPr>
          <w:rFonts w:ascii="Arial" w:hAnsi="Arial" w:cs="Arial"/>
          <w:sz w:val="20"/>
        </w:rPr>
        <w:t xml:space="preserve"> this model 80% of the devices </w:t>
      </w:r>
      <w:r w:rsidR="007B00D3">
        <w:rPr>
          <w:rFonts w:ascii="Arial" w:hAnsi="Arial" w:cs="Arial"/>
          <w:sz w:val="20"/>
        </w:rPr>
        <w:t>are</w:t>
      </w:r>
      <w:r w:rsidR="00EB448F">
        <w:rPr>
          <w:rFonts w:ascii="Arial" w:hAnsi="Arial" w:cs="Arial"/>
          <w:sz w:val="20"/>
        </w:rPr>
        <w:t xml:space="preserve"> assumed to send a MAR</w:t>
      </w:r>
      <w:r w:rsidR="00C62FEA">
        <w:rPr>
          <w:rFonts w:ascii="Arial" w:hAnsi="Arial" w:cs="Arial"/>
          <w:sz w:val="20"/>
        </w:rPr>
        <w:t xml:space="preserve"> </w:t>
      </w:r>
      <w:r w:rsidR="00947187">
        <w:rPr>
          <w:rFonts w:ascii="Arial" w:hAnsi="Arial" w:cs="Arial"/>
          <w:sz w:val="20"/>
        </w:rPr>
        <w:t>with Pareto distributed</w:t>
      </w:r>
      <w:r w:rsidR="00C62FEA">
        <w:rPr>
          <w:rFonts w:ascii="Arial" w:hAnsi="Arial" w:cs="Arial"/>
          <w:sz w:val="20"/>
        </w:rPr>
        <w:t xml:space="preserve"> application level payload ranging between 20 and 200 bytes.</w:t>
      </w:r>
      <w:r w:rsidR="001238B8">
        <w:rPr>
          <w:rFonts w:ascii="Arial" w:hAnsi="Arial" w:cs="Arial"/>
          <w:sz w:val="20"/>
        </w:rPr>
        <w:t xml:space="preserve"> </w:t>
      </w:r>
      <w:r w:rsidR="00947187">
        <w:rPr>
          <w:rFonts w:ascii="Arial" w:hAnsi="Arial" w:cs="Arial"/>
          <w:sz w:val="20"/>
        </w:rPr>
        <w:t>In</w:t>
      </w:r>
      <w:r w:rsidR="00687E1C" w:rsidRPr="001238B8">
        <w:rPr>
          <w:rFonts w:ascii="Arial" w:hAnsi="Arial" w:cs="Arial"/>
          <w:sz w:val="20"/>
        </w:rPr>
        <w:t xml:space="preserve"> 50% of the </w:t>
      </w:r>
      <w:r w:rsidR="00947187">
        <w:rPr>
          <w:rFonts w:ascii="Arial" w:hAnsi="Arial" w:cs="Arial"/>
          <w:sz w:val="20"/>
        </w:rPr>
        <w:t xml:space="preserve">cases </w:t>
      </w:r>
      <w:r w:rsidR="00687E1C" w:rsidRPr="001238B8">
        <w:rPr>
          <w:rFonts w:ascii="Arial" w:hAnsi="Arial" w:cs="Arial"/>
          <w:sz w:val="20"/>
        </w:rPr>
        <w:t xml:space="preserve">the network is assumed to </w:t>
      </w:r>
      <w:r w:rsidR="00687E1C">
        <w:rPr>
          <w:rFonts w:ascii="Arial" w:hAnsi="Arial" w:cs="Arial"/>
          <w:sz w:val="20"/>
        </w:rPr>
        <w:t xml:space="preserve">respond </w:t>
      </w:r>
      <w:r w:rsidR="00947187">
        <w:rPr>
          <w:rFonts w:ascii="Arial" w:hAnsi="Arial" w:cs="Arial"/>
          <w:sz w:val="20"/>
        </w:rPr>
        <w:t xml:space="preserve">to the MAR </w:t>
      </w:r>
      <w:r w:rsidR="00687E1C">
        <w:rPr>
          <w:rFonts w:ascii="Arial" w:hAnsi="Arial" w:cs="Arial"/>
          <w:sz w:val="20"/>
        </w:rPr>
        <w:t xml:space="preserve">with an application level acknowledgment that for simplicity </w:t>
      </w:r>
      <w:r w:rsidR="00947187">
        <w:rPr>
          <w:rFonts w:ascii="Arial" w:hAnsi="Arial" w:cs="Arial"/>
          <w:sz w:val="20"/>
        </w:rPr>
        <w:t>is assumed to contain</w:t>
      </w:r>
      <w:r w:rsidR="00687E1C">
        <w:rPr>
          <w:rFonts w:ascii="Arial" w:hAnsi="Arial" w:cs="Arial"/>
          <w:sz w:val="20"/>
        </w:rPr>
        <w:t xml:space="preserve"> 0 bytes payload.</w:t>
      </w:r>
    </w:p>
    <w:p w14:paraId="5B273A50" w14:textId="1EB28876" w:rsidR="00BF3361" w:rsidRDefault="00A07163" w:rsidP="00BF3361">
      <w:pPr>
        <w:keepNext/>
      </w:pPr>
      <w:r>
        <w:rPr>
          <w:noProof/>
          <w:lang w:val="en-US" w:eastAsia="en-US"/>
        </w:rPr>
        <w:lastRenderedPageBreak/>
        <w:drawing>
          <wp:inline distT="0" distB="0" distL="0" distR="0" wp14:anchorId="64A5350A" wp14:editId="30F0BDEA">
            <wp:extent cx="5040975" cy="3602438"/>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aretoDist.png"/>
                    <pic:cNvPicPr/>
                  </pic:nvPicPr>
                  <pic:blipFill>
                    <a:blip r:embed="rId8">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21F22FD3" w14:textId="7C0472E3" w:rsidR="00BF3361" w:rsidRPr="00FD465C" w:rsidRDefault="00BF3361" w:rsidP="00BF3361">
      <w:pPr>
        <w:pStyle w:val="Caption"/>
        <w:jc w:val="both"/>
        <w:rPr>
          <w:rFonts w:ascii="Arial" w:hAnsi="Arial" w:cs="Arial"/>
          <w:bCs w:val="0"/>
          <w:sz w:val="20"/>
        </w:rPr>
      </w:pPr>
      <w:r w:rsidRPr="00FD465C">
        <w:rPr>
          <w:rFonts w:ascii="Arial" w:hAnsi="Arial" w:cs="Arial"/>
          <w:sz w:val="20"/>
        </w:rPr>
        <w:t xml:space="preserve">Figure </w:t>
      </w:r>
      <w:r w:rsidRPr="00FD465C">
        <w:rPr>
          <w:rFonts w:ascii="Arial" w:hAnsi="Arial" w:cs="Arial"/>
          <w:sz w:val="20"/>
        </w:rPr>
        <w:fldChar w:fldCharType="begin"/>
      </w:r>
      <w:r w:rsidRPr="00FD465C">
        <w:rPr>
          <w:rFonts w:ascii="Arial" w:hAnsi="Arial" w:cs="Arial"/>
          <w:sz w:val="20"/>
        </w:rPr>
        <w:instrText xml:space="preserve"> SEQ Figure \* ARABIC </w:instrText>
      </w:r>
      <w:r w:rsidRPr="00FD465C">
        <w:rPr>
          <w:rFonts w:ascii="Arial" w:hAnsi="Arial" w:cs="Arial"/>
          <w:sz w:val="20"/>
        </w:rPr>
        <w:fldChar w:fldCharType="separate"/>
      </w:r>
      <w:r w:rsidR="00140E5C">
        <w:rPr>
          <w:rFonts w:ascii="Arial" w:hAnsi="Arial" w:cs="Arial"/>
          <w:noProof/>
          <w:sz w:val="20"/>
        </w:rPr>
        <w:t>1</w:t>
      </w:r>
      <w:r w:rsidRPr="00FD465C">
        <w:rPr>
          <w:rFonts w:ascii="Arial" w:hAnsi="Arial" w:cs="Arial"/>
          <w:sz w:val="20"/>
        </w:rPr>
        <w:fldChar w:fldCharType="end"/>
      </w:r>
      <w:r w:rsidRPr="00FD465C">
        <w:rPr>
          <w:rFonts w:ascii="Arial" w:hAnsi="Arial" w:cs="Arial"/>
          <w:sz w:val="20"/>
        </w:rPr>
        <w:t xml:space="preserve"> Pareto distributed </w:t>
      </w:r>
      <w:r w:rsidR="00C62FEA" w:rsidRPr="00FD465C">
        <w:rPr>
          <w:rFonts w:ascii="Arial" w:hAnsi="Arial" w:cs="Arial"/>
          <w:sz w:val="20"/>
        </w:rPr>
        <w:t>payload rang</w:t>
      </w:r>
      <w:r w:rsidRPr="00FD465C">
        <w:rPr>
          <w:rFonts w:ascii="Arial" w:hAnsi="Arial" w:cs="Arial"/>
          <w:sz w:val="20"/>
        </w:rPr>
        <w:t>ing between 20 and 200 bytes with mean 33.6 bytes</w:t>
      </w:r>
      <w:r w:rsidR="007C0D5A" w:rsidRPr="00FD465C">
        <w:rPr>
          <w:rFonts w:ascii="Arial" w:hAnsi="Arial" w:cs="Arial"/>
          <w:sz w:val="20"/>
        </w:rPr>
        <w:t xml:space="preserve"> </w:t>
      </w:r>
      <w:r w:rsidR="007C0D5A" w:rsidRPr="00FD465C">
        <w:rPr>
          <w:rFonts w:ascii="Arial" w:hAnsi="Arial" w:cs="Arial"/>
          <w:sz w:val="20"/>
        </w:rPr>
        <w:fldChar w:fldCharType="begin"/>
      </w:r>
      <w:r w:rsidR="007C0D5A" w:rsidRPr="00FD465C">
        <w:rPr>
          <w:rFonts w:ascii="Arial" w:hAnsi="Arial" w:cs="Arial"/>
          <w:sz w:val="20"/>
        </w:rPr>
        <w:instrText xml:space="preserve"> REF _Ref474680403 \r \h </w:instrText>
      </w:r>
      <w:r w:rsidR="008F7550" w:rsidRPr="00FD465C">
        <w:rPr>
          <w:rFonts w:ascii="Arial" w:hAnsi="Arial" w:cs="Arial"/>
          <w:sz w:val="20"/>
        </w:rPr>
        <w:instrText xml:space="preserve"> \* MERGEFORMAT </w:instrText>
      </w:r>
      <w:r w:rsidR="007C0D5A" w:rsidRPr="00FD465C">
        <w:rPr>
          <w:rFonts w:ascii="Arial" w:hAnsi="Arial" w:cs="Arial"/>
          <w:sz w:val="20"/>
        </w:rPr>
      </w:r>
      <w:r w:rsidR="007C0D5A" w:rsidRPr="00FD465C">
        <w:rPr>
          <w:rFonts w:ascii="Arial" w:hAnsi="Arial" w:cs="Arial"/>
          <w:sz w:val="20"/>
        </w:rPr>
        <w:fldChar w:fldCharType="separate"/>
      </w:r>
      <w:r w:rsidR="00140E5C">
        <w:rPr>
          <w:rFonts w:ascii="Arial" w:hAnsi="Arial" w:cs="Arial"/>
          <w:sz w:val="20"/>
        </w:rPr>
        <w:t>[4]</w:t>
      </w:r>
      <w:r w:rsidR="007C0D5A" w:rsidRPr="00FD465C">
        <w:rPr>
          <w:rFonts w:ascii="Arial" w:hAnsi="Arial" w:cs="Arial"/>
          <w:sz w:val="20"/>
        </w:rPr>
        <w:fldChar w:fldCharType="end"/>
      </w:r>
      <w:r w:rsidR="007C0D5A" w:rsidRPr="00FD465C">
        <w:rPr>
          <w:rFonts w:ascii="Arial" w:hAnsi="Arial" w:cs="Arial"/>
          <w:sz w:val="20"/>
        </w:rPr>
        <w:t>.</w:t>
      </w:r>
    </w:p>
    <w:p w14:paraId="36BD6EB2" w14:textId="58037E6C" w:rsidR="00BF3361" w:rsidRDefault="00947187" w:rsidP="001238B8">
      <w:pPr>
        <w:tabs>
          <w:tab w:val="left" w:pos="5245"/>
        </w:tabs>
        <w:rPr>
          <w:rFonts w:ascii="Arial" w:hAnsi="Arial" w:cs="Arial"/>
          <w:sz w:val="20"/>
        </w:rPr>
      </w:pPr>
      <w:r>
        <w:rPr>
          <w:rFonts w:ascii="Arial" w:hAnsi="Arial" w:cs="Arial"/>
          <w:sz w:val="20"/>
        </w:rPr>
        <w:t>For</w:t>
      </w:r>
      <w:r w:rsidR="00687E1C">
        <w:rPr>
          <w:rFonts w:ascii="Arial" w:hAnsi="Arial" w:cs="Arial"/>
          <w:sz w:val="20"/>
        </w:rPr>
        <w:t xml:space="preserve"> the remaining 20% of the devices the network is assumed to send a 20 byte command. In 50% of the</w:t>
      </w:r>
      <w:r>
        <w:rPr>
          <w:rFonts w:ascii="Arial" w:hAnsi="Arial" w:cs="Arial"/>
          <w:sz w:val="20"/>
        </w:rPr>
        <w:t>se</w:t>
      </w:r>
      <w:r w:rsidR="00687E1C">
        <w:rPr>
          <w:rFonts w:ascii="Arial" w:hAnsi="Arial" w:cs="Arial"/>
          <w:sz w:val="20"/>
        </w:rPr>
        <w:t xml:space="preserve"> cases the devices are assumed to respond with a</w:t>
      </w:r>
      <w:r w:rsidR="000E3D28">
        <w:rPr>
          <w:rFonts w:ascii="Arial" w:hAnsi="Arial" w:cs="Arial"/>
          <w:sz w:val="20"/>
        </w:rPr>
        <w:t>n</w:t>
      </w:r>
      <w:r w:rsidR="00687E1C">
        <w:rPr>
          <w:rFonts w:ascii="Arial" w:hAnsi="Arial" w:cs="Arial"/>
          <w:sz w:val="20"/>
        </w:rPr>
        <w:t xml:space="preserve"> uplink report following the same Pareto distribution as the MAR.</w:t>
      </w:r>
    </w:p>
    <w:p w14:paraId="6A4C7455" w14:textId="1C0DF5E8" w:rsidR="00687E1C" w:rsidRDefault="002055E1" w:rsidP="001238B8">
      <w:pPr>
        <w:tabs>
          <w:tab w:val="left" w:pos="5245"/>
        </w:tabs>
        <w:rPr>
          <w:rFonts w:ascii="Arial" w:hAnsi="Arial" w:cs="Arial"/>
          <w:sz w:val="20"/>
        </w:rPr>
      </w:pPr>
      <w:r>
        <w:rPr>
          <w:rFonts w:ascii="Arial" w:hAnsi="Arial" w:cs="Arial"/>
          <w:sz w:val="20"/>
        </w:rPr>
        <w:t>On top of these packet sizes comes overhead from</w:t>
      </w:r>
      <w:r w:rsidRPr="003A7C3F">
        <w:rPr>
          <w:rFonts w:ascii="Arial" w:hAnsi="Arial" w:cs="Arial"/>
          <w:sz w:val="20"/>
        </w:rPr>
        <w:t xml:space="preserve"> application, security, t</w:t>
      </w:r>
      <w:r>
        <w:rPr>
          <w:rFonts w:ascii="Arial" w:hAnsi="Arial" w:cs="Arial"/>
          <w:sz w:val="20"/>
        </w:rPr>
        <w:t xml:space="preserve">ransport and internet protocols as summarized </w:t>
      </w:r>
      <w:r w:rsidR="00D254A3">
        <w:rPr>
          <w:rFonts w:ascii="Arial" w:hAnsi="Arial" w:cs="Arial"/>
          <w:sz w:val="20"/>
        </w:rPr>
        <w:t>in the below table.</w:t>
      </w:r>
    </w:p>
    <w:p w14:paraId="4B125B4D" w14:textId="7C2BD87F" w:rsidR="00B47CB5" w:rsidRPr="00FD465C" w:rsidRDefault="00B47CB5" w:rsidP="008F7550">
      <w:pPr>
        <w:pStyle w:val="Caption"/>
        <w:rPr>
          <w:rFonts w:ascii="Arial" w:hAnsi="Arial" w:cs="Arial"/>
          <w:sz w:val="20"/>
        </w:rPr>
      </w:pPr>
      <w:r w:rsidRPr="00FD465C">
        <w:rPr>
          <w:rFonts w:ascii="Arial" w:hAnsi="Arial" w:cs="Arial"/>
          <w:sz w:val="20"/>
        </w:rPr>
        <w:t xml:space="preserve">Table </w:t>
      </w:r>
      <w:r w:rsidRPr="00FD465C">
        <w:rPr>
          <w:rFonts w:ascii="Arial" w:hAnsi="Arial" w:cs="Arial"/>
          <w:sz w:val="20"/>
        </w:rPr>
        <w:fldChar w:fldCharType="begin"/>
      </w:r>
      <w:r w:rsidRPr="00FD465C">
        <w:rPr>
          <w:rFonts w:ascii="Arial" w:hAnsi="Arial" w:cs="Arial"/>
          <w:sz w:val="20"/>
        </w:rPr>
        <w:instrText xml:space="preserve"> SEQ Table \* ARABIC </w:instrText>
      </w:r>
      <w:r w:rsidRPr="00FD465C">
        <w:rPr>
          <w:rFonts w:ascii="Arial" w:hAnsi="Arial" w:cs="Arial"/>
          <w:sz w:val="20"/>
        </w:rPr>
        <w:fldChar w:fldCharType="separate"/>
      </w:r>
      <w:r w:rsidR="00140E5C">
        <w:rPr>
          <w:rFonts w:ascii="Arial" w:hAnsi="Arial" w:cs="Arial"/>
          <w:noProof/>
          <w:sz w:val="20"/>
        </w:rPr>
        <w:t>1</w:t>
      </w:r>
      <w:r w:rsidRPr="00FD465C">
        <w:rPr>
          <w:rFonts w:ascii="Arial" w:hAnsi="Arial" w:cs="Arial"/>
          <w:sz w:val="20"/>
        </w:rPr>
        <w:fldChar w:fldCharType="end"/>
      </w:r>
      <w:r w:rsidRPr="00FD465C">
        <w:rPr>
          <w:rFonts w:ascii="Arial" w:hAnsi="Arial" w:cs="Arial"/>
          <w:sz w:val="20"/>
        </w:rPr>
        <w:t xml:space="preserve"> </w:t>
      </w:r>
      <w:r w:rsidR="008F7550" w:rsidRPr="00FD465C">
        <w:rPr>
          <w:rFonts w:ascii="Arial" w:hAnsi="Arial" w:cs="Arial"/>
          <w:sz w:val="20"/>
        </w:rPr>
        <w:t>Application, security, transport and internet protocol overheads.</w:t>
      </w:r>
    </w:p>
    <w:tbl>
      <w:tblPr>
        <w:tblStyle w:val="TableGrid"/>
        <w:tblW w:w="0" w:type="auto"/>
        <w:tblLook w:val="04A0" w:firstRow="1" w:lastRow="0" w:firstColumn="1" w:lastColumn="0" w:noHBand="0" w:noVBand="1"/>
      </w:tblPr>
      <w:tblGrid>
        <w:gridCol w:w="4814"/>
        <w:gridCol w:w="4815"/>
      </w:tblGrid>
      <w:tr w:rsidR="004D0A01" w14:paraId="64F64BBE" w14:textId="77777777" w:rsidTr="004D0A01">
        <w:tc>
          <w:tcPr>
            <w:tcW w:w="4814" w:type="dxa"/>
          </w:tcPr>
          <w:p w14:paraId="1DD59B0D" w14:textId="276F8C69" w:rsidR="004D0A01" w:rsidRPr="004D0A01" w:rsidRDefault="004D0A01" w:rsidP="004D0A01">
            <w:pPr>
              <w:pStyle w:val="TAH"/>
            </w:pPr>
            <w:r w:rsidRPr="004D0A01">
              <w:t>Protocol layer</w:t>
            </w:r>
          </w:p>
        </w:tc>
        <w:tc>
          <w:tcPr>
            <w:tcW w:w="4815" w:type="dxa"/>
          </w:tcPr>
          <w:p w14:paraId="26AA0E60" w14:textId="2B7E4C47" w:rsidR="004D0A01" w:rsidRPr="004D0A01" w:rsidRDefault="004D0A01" w:rsidP="004D0A01">
            <w:pPr>
              <w:pStyle w:val="TAH"/>
            </w:pPr>
            <w:r w:rsidRPr="004D0A01">
              <w:t>Overhead [bytes]</w:t>
            </w:r>
          </w:p>
        </w:tc>
      </w:tr>
      <w:tr w:rsidR="004D0A01" w14:paraId="4DB7AE51" w14:textId="77777777" w:rsidTr="004D0A01">
        <w:tc>
          <w:tcPr>
            <w:tcW w:w="4814" w:type="dxa"/>
          </w:tcPr>
          <w:p w14:paraId="57C4B42E" w14:textId="0C7D05C8" w:rsidR="004D0A01" w:rsidRPr="004D0A01" w:rsidRDefault="004D0A01" w:rsidP="001054F7">
            <w:pPr>
              <w:pStyle w:val="TAL"/>
              <w:jc w:val="center"/>
            </w:pPr>
            <w:r w:rsidRPr="004D0A01">
              <w:t>COAP</w:t>
            </w:r>
          </w:p>
        </w:tc>
        <w:tc>
          <w:tcPr>
            <w:tcW w:w="4815" w:type="dxa"/>
          </w:tcPr>
          <w:p w14:paraId="304121BA" w14:textId="5AA0B005" w:rsidR="004D0A01" w:rsidRPr="004D0A01" w:rsidRDefault="004D0A01" w:rsidP="001054F7">
            <w:pPr>
              <w:pStyle w:val="TAL"/>
              <w:jc w:val="center"/>
            </w:pPr>
            <w:r w:rsidRPr="004D0A01">
              <w:t>4</w:t>
            </w:r>
          </w:p>
        </w:tc>
      </w:tr>
      <w:tr w:rsidR="004D0A01" w14:paraId="419EFDC1" w14:textId="77777777" w:rsidTr="004D0A01">
        <w:tc>
          <w:tcPr>
            <w:tcW w:w="4814" w:type="dxa"/>
          </w:tcPr>
          <w:p w14:paraId="1AA739C9" w14:textId="274B3FDC" w:rsidR="004D0A01" w:rsidRPr="004D0A01" w:rsidRDefault="004D0A01" w:rsidP="001054F7">
            <w:pPr>
              <w:pStyle w:val="TAL"/>
              <w:jc w:val="center"/>
            </w:pPr>
            <w:r w:rsidRPr="004D0A01">
              <w:t>DTLS</w:t>
            </w:r>
          </w:p>
        </w:tc>
        <w:tc>
          <w:tcPr>
            <w:tcW w:w="4815" w:type="dxa"/>
          </w:tcPr>
          <w:p w14:paraId="1C609E20" w14:textId="72CEEB38" w:rsidR="004D0A01" w:rsidRPr="004D0A01" w:rsidRDefault="004D0A01" w:rsidP="001054F7">
            <w:pPr>
              <w:pStyle w:val="TAL"/>
              <w:jc w:val="center"/>
            </w:pPr>
            <w:r w:rsidRPr="004D0A01">
              <w:t>13</w:t>
            </w:r>
          </w:p>
        </w:tc>
      </w:tr>
      <w:tr w:rsidR="004D0A01" w14:paraId="0AC517D2" w14:textId="77777777" w:rsidTr="004D0A01">
        <w:tc>
          <w:tcPr>
            <w:tcW w:w="4814" w:type="dxa"/>
          </w:tcPr>
          <w:p w14:paraId="0B799D93" w14:textId="7216534C" w:rsidR="004D0A01" w:rsidRPr="004D0A01" w:rsidRDefault="004D0A01" w:rsidP="001054F7">
            <w:pPr>
              <w:pStyle w:val="TAL"/>
              <w:jc w:val="center"/>
            </w:pPr>
            <w:r w:rsidRPr="004D0A01">
              <w:t>UDP</w:t>
            </w:r>
          </w:p>
        </w:tc>
        <w:tc>
          <w:tcPr>
            <w:tcW w:w="4815" w:type="dxa"/>
          </w:tcPr>
          <w:p w14:paraId="539EB651" w14:textId="644C3E50" w:rsidR="004D0A01" w:rsidRPr="004D0A01" w:rsidRDefault="004D0A01" w:rsidP="001054F7">
            <w:pPr>
              <w:pStyle w:val="TAL"/>
              <w:jc w:val="center"/>
            </w:pPr>
            <w:r w:rsidRPr="004D0A01">
              <w:t>8</w:t>
            </w:r>
          </w:p>
        </w:tc>
      </w:tr>
      <w:tr w:rsidR="004D0A01" w14:paraId="1AA97A9B" w14:textId="77777777" w:rsidTr="004D0A01">
        <w:tc>
          <w:tcPr>
            <w:tcW w:w="4814" w:type="dxa"/>
          </w:tcPr>
          <w:p w14:paraId="462F9753" w14:textId="1534D0A0" w:rsidR="004D0A01" w:rsidRPr="004D0A01" w:rsidRDefault="004D0A01" w:rsidP="001054F7">
            <w:pPr>
              <w:pStyle w:val="TAL"/>
              <w:jc w:val="center"/>
            </w:pPr>
            <w:r w:rsidRPr="004D0A01">
              <w:t>IP</w:t>
            </w:r>
          </w:p>
        </w:tc>
        <w:tc>
          <w:tcPr>
            <w:tcW w:w="4815" w:type="dxa"/>
          </w:tcPr>
          <w:p w14:paraId="2ACD224C" w14:textId="293D6F43" w:rsidR="004D0A01" w:rsidRPr="004D0A01" w:rsidRDefault="004D0A01" w:rsidP="001054F7">
            <w:pPr>
              <w:pStyle w:val="TAL"/>
              <w:jc w:val="center"/>
            </w:pPr>
            <w:r w:rsidRPr="004D0A01">
              <w:t>40</w:t>
            </w:r>
          </w:p>
        </w:tc>
      </w:tr>
      <w:tr w:rsidR="004D0A01" w14:paraId="1BD36AC9" w14:textId="77777777" w:rsidTr="004D0A01">
        <w:tc>
          <w:tcPr>
            <w:tcW w:w="4814" w:type="dxa"/>
          </w:tcPr>
          <w:p w14:paraId="72D13A3D" w14:textId="38C1B62F" w:rsidR="004D0A01" w:rsidRPr="004D0A01" w:rsidRDefault="004D0A01" w:rsidP="001054F7">
            <w:pPr>
              <w:pStyle w:val="TAL"/>
              <w:jc w:val="center"/>
            </w:pPr>
            <w:r w:rsidRPr="004D0A01">
              <w:t>Total</w:t>
            </w:r>
          </w:p>
        </w:tc>
        <w:tc>
          <w:tcPr>
            <w:tcW w:w="4815" w:type="dxa"/>
          </w:tcPr>
          <w:p w14:paraId="5FB41D43" w14:textId="5FA654CC" w:rsidR="004D0A01" w:rsidRPr="004D0A01" w:rsidRDefault="009652FA" w:rsidP="001054F7">
            <w:pPr>
              <w:pStyle w:val="TAL"/>
              <w:jc w:val="center"/>
            </w:pPr>
            <w:r>
              <w:t>6</w:t>
            </w:r>
            <w:r w:rsidR="004D0A01" w:rsidRPr="004D0A01">
              <w:t>5</w:t>
            </w:r>
          </w:p>
        </w:tc>
      </w:tr>
    </w:tbl>
    <w:p w14:paraId="3CA121A7" w14:textId="4097946E" w:rsidR="004D0A01" w:rsidRDefault="004D0A01" w:rsidP="001B4C46">
      <w:pPr>
        <w:tabs>
          <w:tab w:val="left" w:pos="5245"/>
        </w:tabs>
        <w:rPr>
          <w:rFonts w:ascii="Arial" w:hAnsi="Arial" w:cs="Arial"/>
        </w:rPr>
      </w:pPr>
    </w:p>
    <w:p w14:paraId="4E1704DE" w14:textId="1A0CB9D3" w:rsidR="008A2D83" w:rsidRPr="008F7550" w:rsidRDefault="008F7550" w:rsidP="008A2D83">
      <w:pPr>
        <w:tabs>
          <w:tab w:val="left" w:pos="5245"/>
        </w:tabs>
        <w:rPr>
          <w:rFonts w:ascii="Arial" w:hAnsi="Arial" w:cs="Arial"/>
          <w:sz w:val="20"/>
        </w:rPr>
      </w:pPr>
      <w:r w:rsidRPr="008F7550">
        <w:rPr>
          <w:rFonts w:ascii="Arial" w:hAnsi="Arial" w:cs="Arial"/>
          <w:sz w:val="20"/>
        </w:rPr>
        <w:t xml:space="preserve">The </w:t>
      </w:r>
      <w:r>
        <w:rPr>
          <w:rFonts w:ascii="Arial" w:hAnsi="Arial" w:cs="Arial"/>
          <w:sz w:val="20"/>
        </w:rPr>
        <w:t xml:space="preserve">MAR and NC </w:t>
      </w:r>
      <w:r w:rsidR="00947187">
        <w:rPr>
          <w:rFonts w:ascii="Arial" w:hAnsi="Arial" w:cs="Arial"/>
          <w:sz w:val="20"/>
        </w:rPr>
        <w:t xml:space="preserve">arrival </w:t>
      </w:r>
      <w:r>
        <w:rPr>
          <w:rFonts w:ascii="Arial" w:hAnsi="Arial" w:cs="Arial"/>
          <w:sz w:val="20"/>
        </w:rPr>
        <w:t>intensit</w:t>
      </w:r>
      <w:r w:rsidR="005C7866">
        <w:rPr>
          <w:rFonts w:ascii="Arial" w:hAnsi="Arial" w:cs="Arial"/>
          <w:sz w:val="20"/>
        </w:rPr>
        <w:t xml:space="preserve">ies were </w:t>
      </w:r>
      <w:r>
        <w:rPr>
          <w:rFonts w:ascii="Arial" w:hAnsi="Arial" w:cs="Arial"/>
          <w:sz w:val="20"/>
        </w:rPr>
        <w:t xml:space="preserve">assumed to </w:t>
      </w:r>
      <w:r w:rsidR="00BB7FFD">
        <w:rPr>
          <w:rFonts w:ascii="Arial" w:hAnsi="Arial" w:cs="Arial"/>
          <w:sz w:val="20"/>
        </w:rPr>
        <w:t xml:space="preserve">range between 30 minutes to 24 hours to model different types of devices with different traffic </w:t>
      </w:r>
      <w:r w:rsidR="005F61CA">
        <w:rPr>
          <w:rFonts w:ascii="Arial" w:hAnsi="Arial" w:cs="Arial"/>
          <w:sz w:val="20"/>
        </w:rPr>
        <w:t>profiles</w:t>
      </w:r>
      <w:r w:rsidR="00BB7FFD" w:rsidRPr="005C7866">
        <w:rPr>
          <w:rFonts w:ascii="Arial" w:hAnsi="Arial" w:cs="Arial"/>
          <w:sz w:val="20"/>
        </w:rPr>
        <w:t xml:space="preserve">. </w:t>
      </w:r>
      <w:r w:rsidR="00144416" w:rsidRPr="005C7866">
        <w:rPr>
          <w:rFonts w:ascii="Arial" w:hAnsi="Arial" w:cs="Arial"/>
          <w:sz w:val="20"/>
        </w:rPr>
        <w:fldChar w:fldCharType="begin"/>
      </w:r>
      <w:r w:rsidR="00144416" w:rsidRPr="005C7866">
        <w:rPr>
          <w:rFonts w:ascii="Arial" w:hAnsi="Arial" w:cs="Arial"/>
          <w:sz w:val="20"/>
        </w:rPr>
        <w:instrText xml:space="preserve"> REF _Ref474681508 \h </w:instrText>
      </w:r>
      <w:r w:rsidR="005C7866">
        <w:rPr>
          <w:rFonts w:ascii="Arial" w:hAnsi="Arial" w:cs="Arial"/>
          <w:sz w:val="20"/>
        </w:rPr>
        <w:instrText xml:space="preserve"> \* MERGEFORMAT </w:instrText>
      </w:r>
      <w:r w:rsidR="00144416" w:rsidRPr="005C7866">
        <w:rPr>
          <w:rFonts w:ascii="Arial" w:hAnsi="Arial" w:cs="Arial"/>
          <w:sz w:val="20"/>
        </w:rPr>
      </w:r>
      <w:r w:rsidR="00144416" w:rsidRPr="005C7866">
        <w:rPr>
          <w:rFonts w:ascii="Arial" w:hAnsi="Arial" w:cs="Arial"/>
          <w:sz w:val="20"/>
        </w:rPr>
        <w:fldChar w:fldCharType="separate"/>
      </w:r>
      <w:r w:rsidR="00140E5C" w:rsidRPr="00FD465C">
        <w:rPr>
          <w:rFonts w:ascii="Arial" w:hAnsi="Arial" w:cs="Arial"/>
          <w:sz w:val="20"/>
        </w:rPr>
        <w:t xml:space="preserve">Table </w:t>
      </w:r>
      <w:r w:rsidR="00140E5C">
        <w:rPr>
          <w:rFonts w:ascii="Arial" w:hAnsi="Arial" w:cs="Arial"/>
          <w:sz w:val="20"/>
        </w:rPr>
        <w:t>2</w:t>
      </w:r>
      <w:r w:rsidR="00144416" w:rsidRPr="005C7866">
        <w:rPr>
          <w:rFonts w:ascii="Arial" w:hAnsi="Arial" w:cs="Arial"/>
          <w:sz w:val="20"/>
        </w:rPr>
        <w:fldChar w:fldCharType="end"/>
      </w:r>
      <w:r w:rsidR="00144416" w:rsidRPr="005C7866">
        <w:rPr>
          <w:rFonts w:ascii="Arial" w:hAnsi="Arial" w:cs="Arial"/>
          <w:sz w:val="20"/>
        </w:rPr>
        <w:t xml:space="preserve"> summarizes</w:t>
      </w:r>
      <w:r w:rsidR="00144416">
        <w:rPr>
          <w:rFonts w:ascii="Arial" w:hAnsi="Arial" w:cs="Arial"/>
          <w:sz w:val="20"/>
        </w:rPr>
        <w:t xml:space="preserve"> these assumptions. It can be noted that this implies that a device on average </w:t>
      </w:r>
      <w:r w:rsidR="005C7866">
        <w:rPr>
          <w:rFonts w:ascii="Arial" w:hAnsi="Arial" w:cs="Arial"/>
          <w:sz w:val="20"/>
        </w:rPr>
        <w:t xml:space="preserve">is active </w:t>
      </w:r>
      <w:r w:rsidR="00144416">
        <w:rPr>
          <w:rFonts w:ascii="Arial" w:hAnsi="Arial" w:cs="Arial"/>
          <w:sz w:val="20"/>
        </w:rPr>
        <w:t>once every 2.14 hours.</w:t>
      </w:r>
    </w:p>
    <w:p w14:paraId="0CEBA432" w14:textId="6735870C" w:rsidR="00567E44" w:rsidRPr="00FD465C" w:rsidRDefault="00567E44" w:rsidP="00567E44">
      <w:pPr>
        <w:pStyle w:val="Caption"/>
        <w:rPr>
          <w:rFonts w:ascii="Arial" w:hAnsi="Arial" w:cs="Arial"/>
          <w:sz w:val="20"/>
        </w:rPr>
      </w:pPr>
      <w:bookmarkStart w:id="5" w:name="_Ref474681508"/>
      <w:r w:rsidRPr="00FD465C">
        <w:rPr>
          <w:rFonts w:ascii="Arial" w:hAnsi="Arial" w:cs="Arial"/>
          <w:sz w:val="20"/>
        </w:rPr>
        <w:t xml:space="preserve">Table </w:t>
      </w:r>
      <w:r w:rsidRPr="00FD465C">
        <w:rPr>
          <w:rFonts w:ascii="Arial" w:hAnsi="Arial" w:cs="Arial"/>
          <w:sz w:val="20"/>
        </w:rPr>
        <w:fldChar w:fldCharType="begin"/>
      </w:r>
      <w:r w:rsidRPr="00FD465C">
        <w:rPr>
          <w:rFonts w:ascii="Arial" w:hAnsi="Arial" w:cs="Arial"/>
          <w:sz w:val="20"/>
        </w:rPr>
        <w:instrText xml:space="preserve"> SEQ Table \* ARABIC </w:instrText>
      </w:r>
      <w:r w:rsidRPr="00FD465C">
        <w:rPr>
          <w:rFonts w:ascii="Arial" w:hAnsi="Arial" w:cs="Arial"/>
          <w:sz w:val="20"/>
        </w:rPr>
        <w:fldChar w:fldCharType="separate"/>
      </w:r>
      <w:r w:rsidR="00140E5C">
        <w:rPr>
          <w:rFonts w:ascii="Arial" w:hAnsi="Arial" w:cs="Arial"/>
          <w:noProof/>
          <w:sz w:val="20"/>
        </w:rPr>
        <w:t>2</w:t>
      </w:r>
      <w:r w:rsidRPr="00FD465C">
        <w:rPr>
          <w:rFonts w:ascii="Arial" w:hAnsi="Arial" w:cs="Arial"/>
          <w:sz w:val="20"/>
        </w:rPr>
        <w:fldChar w:fldCharType="end"/>
      </w:r>
      <w:bookmarkEnd w:id="5"/>
      <w:r w:rsidRPr="00FD465C">
        <w:rPr>
          <w:rFonts w:ascii="Arial" w:hAnsi="Arial" w:cs="Arial"/>
          <w:sz w:val="20"/>
        </w:rPr>
        <w:t xml:space="preserve"> Mobile autonomous reporting and network command periodicity and distribution</w:t>
      </w:r>
      <w:r w:rsidR="00947187" w:rsidRPr="00FD465C">
        <w:rPr>
          <w:rFonts w:ascii="Arial" w:hAnsi="Arial" w:cs="Arial"/>
          <w:sz w:val="20"/>
        </w:rPr>
        <w:t xml:space="preserve"> across the device population</w:t>
      </w:r>
      <w:r w:rsidRPr="00FD465C">
        <w:rPr>
          <w:rFonts w:ascii="Arial" w:hAnsi="Arial" w:cs="Arial"/>
          <w:sz w:val="20"/>
        </w:rPr>
        <w:t>.</w:t>
      </w:r>
    </w:p>
    <w:tbl>
      <w:tblPr>
        <w:tblStyle w:val="TableGrid"/>
        <w:tblW w:w="0" w:type="auto"/>
        <w:tblLook w:val="04A0" w:firstRow="1" w:lastRow="0" w:firstColumn="1" w:lastColumn="0" w:noHBand="0" w:noVBand="1"/>
      </w:tblPr>
      <w:tblGrid>
        <w:gridCol w:w="4698"/>
        <w:gridCol w:w="4698"/>
      </w:tblGrid>
      <w:tr w:rsidR="009652FA" w14:paraId="5BACC14E" w14:textId="77777777" w:rsidTr="009652FA">
        <w:tc>
          <w:tcPr>
            <w:tcW w:w="4698" w:type="dxa"/>
            <w:tcBorders>
              <w:top w:val="single" w:sz="4" w:space="0" w:color="auto"/>
              <w:left w:val="single" w:sz="4" w:space="0" w:color="auto"/>
              <w:bottom w:val="single" w:sz="4" w:space="0" w:color="auto"/>
              <w:right w:val="single" w:sz="4" w:space="0" w:color="auto"/>
            </w:tcBorders>
            <w:hideMark/>
          </w:tcPr>
          <w:p w14:paraId="1C22F61A" w14:textId="77777777" w:rsidR="009652FA" w:rsidRDefault="009652FA">
            <w:pPr>
              <w:pStyle w:val="TAH"/>
            </w:pPr>
            <w:r>
              <w:t>Report periodicity [hours]</w:t>
            </w:r>
          </w:p>
        </w:tc>
        <w:tc>
          <w:tcPr>
            <w:tcW w:w="4698" w:type="dxa"/>
            <w:tcBorders>
              <w:top w:val="single" w:sz="4" w:space="0" w:color="auto"/>
              <w:left w:val="single" w:sz="4" w:space="0" w:color="auto"/>
              <w:bottom w:val="single" w:sz="4" w:space="0" w:color="auto"/>
              <w:right w:val="single" w:sz="4" w:space="0" w:color="auto"/>
            </w:tcBorders>
            <w:hideMark/>
          </w:tcPr>
          <w:p w14:paraId="0448107A" w14:textId="77777777" w:rsidR="009652FA" w:rsidRDefault="009652FA">
            <w:pPr>
              <w:pStyle w:val="TAH"/>
            </w:pPr>
            <w:r>
              <w:t>Device distribution [%]</w:t>
            </w:r>
          </w:p>
        </w:tc>
      </w:tr>
      <w:tr w:rsidR="009652FA" w14:paraId="5B2CBA32" w14:textId="77777777" w:rsidTr="009652FA">
        <w:tc>
          <w:tcPr>
            <w:tcW w:w="4698" w:type="dxa"/>
            <w:tcBorders>
              <w:top w:val="single" w:sz="4" w:space="0" w:color="auto"/>
              <w:left w:val="single" w:sz="4" w:space="0" w:color="auto"/>
              <w:bottom w:val="single" w:sz="4" w:space="0" w:color="auto"/>
              <w:right w:val="single" w:sz="4" w:space="0" w:color="auto"/>
            </w:tcBorders>
            <w:hideMark/>
          </w:tcPr>
          <w:p w14:paraId="0D80B4E4" w14:textId="77777777" w:rsidR="009652FA" w:rsidRDefault="009652FA">
            <w:pPr>
              <w:pStyle w:val="TAL"/>
              <w:jc w:val="center"/>
            </w:pPr>
            <w:r>
              <w:t xml:space="preserve">24 </w:t>
            </w:r>
          </w:p>
        </w:tc>
        <w:tc>
          <w:tcPr>
            <w:tcW w:w="4698" w:type="dxa"/>
            <w:tcBorders>
              <w:top w:val="single" w:sz="4" w:space="0" w:color="auto"/>
              <w:left w:val="single" w:sz="4" w:space="0" w:color="auto"/>
              <w:bottom w:val="single" w:sz="4" w:space="0" w:color="auto"/>
              <w:right w:val="single" w:sz="4" w:space="0" w:color="auto"/>
            </w:tcBorders>
            <w:hideMark/>
          </w:tcPr>
          <w:p w14:paraId="1DA8435B" w14:textId="77777777" w:rsidR="009652FA" w:rsidRDefault="009652FA">
            <w:pPr>
              <w:pStyle w:val="TAL"/>
              <w:jc w:val="center"/>
            </w:pPr>
            <w:r>
              <w:t>40</w:t>
            </w:r>
          </w:p>
        </w:tc>
      </w:tr>
      <w:tr w:rsidR="009652FA" w14:paraId="26EB998C" w14:textId="77777777" w:rsidTr="009652FA">
        <w:tc>
          <w:tcPr>
            <w:tcW w:w="4698" w:type="dxa"/>
            <w:tcBorders>
              <w:top w:val="single" w:sz="4" w:space="0" w:color="auto"/>
              <w:left w:val="single" w:sz="4" w:space="0" w:color="auto"/>
              <w:bottom w:val="single" w:sz="4" w:space="0" w:color="auto"/>
              <w:right w:val="single" w:sz="4" w:space="0" w:color="auto"/>
            </w:tcBorders>
            <w:hideMark/>
          </w:tcPr>
          <w:p w14:paraId="5DEFFC95" w14:textId="77777777" w:rsidR="009652FA" w:rsidRDefault="009652FA">
            <w:pPr>
              <w:pStyle w:val="TAL"/>
              <w:jc w:val="center"/>
            </w:pPr>
            <w:r>
              <w:t>2</w:t>
            </w:r>
          </w:p>
        </w:tc>
        <w:tc>
          <w:tcPr>
            <w:tcW w:w="4698" w:type="dxa"/>
            <w:tcBorders>
              <w:top w:val="single" w:sz="4" w:space="0" w:color="auto"/>
              <w:left w:val="single" w:sz="4" w:space="0" w:color="auto"/>
              <w:bottom w:val="single" w:sz="4" w:space="0" w:color="auto"/>
              <w:right w:val="single" w:sz="4" w:space="0" w:color="auto"/>
            </w:tcBorders>
            <w:hideMark/>
          </w:tcPr>
          <w:p w14:paraId="5AB9D9F6" w14:textId="77777777" w:rsidR="009652FA" w:rsidRDefault="009652FA">
            <w:pPr>
              <w:pStyle w:val="TAL"/>
              <w:jc w:val="center"/>
            </w:pPr>
            <w:r>
              <w:t>40</w:t>
            </w:r>
          </w:p>
        </w:tc>
      </w:tr>
      <w:tr w:rsidR="009652FA" w14:paraId="750F24BA" w14:textId="77777777" w:rsidTr="009652FA">
        <w:tc>
          <w:tcPr>
            <w:tcW w:w="4698" w:type="dxa"/>
            <w:tcBorders>
              <w:top w:val="single" w:sz="4" w:space="0" w:color="auto"/>
              <w:left w:val="single" w:sz="4" w:space="0" w:color="auto"/>
              <w:bottom w:val="single" w:sz="4" w:space="0" w:color="auto"/>
              <w:right w:val="single" w:sz="4" w:space="0" w:color="auto"/>
            </w:tcBorders>
            <w:hideMark/>
          </w:tcPr>
          <w:p w14:paraId="376E47E8" w14:textId="77777777" w:rsidR="009652FA" w:rsidRDefault="009652FA">
            <w:pPr>
              <w:pStyle w:val="TAL"/>
              <w:jc w:val="center"/>
            </w:pPr>
            <w:r>
              <w:t>1</w:t>
            </w:r>
          </w:p>
        </w:tc>
        <w:tc>
          <w:tcPr>
            <w:tcW w:w="4698" w:type="dxa"/>
            <w:tcBorders>
              <w:top w:val="single" w:sz="4" w:space="0" w:color="auto"/>
              <w:left w:val="single" w:sz="4" w:space="0" w:color="auto"/>
              <w:bottom w:val="single" w:sz="4" w:space="0" w:color="auto"/>
              <w:right w:val="single" w:sz="4" w:space="0" w:color="auto"/>
            </w:tcBorders>
            <w:hideMark/>
          </w:tcPr>
          <w:p w14:paraId="1CC96407" w14:textId="77777777" w:rsidR="009652FA" w:rsidRDefault="009652FA">
            <w:pPr>
              <w:pStyle w:val="TAL"/>
              <w:jc w:val="center"/>
            </w:pPr>
            <w:r>
              <w:t>15</w:t>
            </w:r>
          </w:p>
        </w:tc>
      </w:tr>
      <w:tr w:rsidR="009652FA" w14:paraId="02B844CA" w14:textId="77777777" w:rsidTr="009652FA">
        <w:tc>
          <w:tcPr>
            <w:tcW w:w="4698" w:type="dxa"/>
            <w:tcBorders>
              <w:top w:val="single" w:sz="4" w:space="0" w:color="auto"/>
              <w:left w:val="single" w:sz="4" w:space="0" w:color="auto"/>
              <w:bottom w:val="single" w:sz="4" w:space="0" w:color="auto"/>
              <w:right w:val="single" w:sz="4" w:space="0" w:color="auto"/>
            </w:tcBorders>
            <w:hideMark/>
          </w:tcPr>
          <w:p w14:paraId="6100D8A6" w14:textId="77777777" w:rsidR="009652FA" w:rsidRDefault="009652FA">
            <w:pPr>
              <w:pStyle w:val="TAL"/>
              <w:jc w:val="center"/>
            </w:pPr>
            <w:r>
              <w:t>0.5</w:t>
            </w:r>
          </w:p>
        </w:tc>
        <w:tc>
          <w:tcPr>
            <w:tcW w:w="4698" w:type="dxa"/>
            <w:tcBorders>
              <w:top w:val="single" w:sz="4" w:space="0" w:color="auto"/>
              <w:left w:val="single" w:sz="4" w:space="0" w:color="auto"/>
              <w:bottom w:val="single" w:sz="4" w:space="0" w:color="auto"/>
              <w:right w:val="single" w:sz="4" w:space="0" w:color="auto"/>
            </w:tcBorders>
            <w:hideMark/>
          </w:tcPr>
          <w:p w14:paraId="7884337D" w14:textId="77777777" w:rsidR="009652FA" w:rsidRDefault="009652FA">
            <w:pPr>
              <w:pStyle w:val="TAL"/>
              <w:jc w:val="center"/>
            </w:pPr>
            <w:r>
              <w:t>5</w:t>
            </w:r>
          </w:p>
        </w:tc>
      </w:tr>
    </w:tbl>
    <w:p w14:paraId="3E0AF361" w14:textId="77777777" w:rsidR="00144416" w:rsidRDefault="00144416" w:rsidP="008A2D83">
      <w:pPr>
        <w:tabs>
          <w:tab w:val="left" w:pos="5245"/>
        </w:tabs>
        <w:rPr>
          <w:rFonts w:ascii="Arial" w:hAnsi="Arial" w:cs="Arial"/>
          <w:b/>
          <w:sz w:val="20"/>
        </w:rPr>
      </w:pPr>
    </w:p>
    <w:p w14:paraId="7525B734" w14:textId="78FFD1C1" w:rsidR="00891A92" w:rsidRPr="00891A92" w:rsidRDefault="00891A92" w:rsidP="00F979C9">
      <w:pPr>
        <w:tabs>
          <w:tab w:val="left" w:pos="5245"/>
        </w:tabs>
        <w:rPr>
          <w:rFonts w:ascii="Arial" w:hAnsi="Arial" w:cs="Arial"/>
          <w:sz w:val="20"/>
        </w:rPr>
      </w:pPr>
      <w:r>
        <w:rPr>
          <w:rFonts w:ascii="Arial" w:hAnsi="Arial" w:cs="Arial"/>
          <w:sz w:val="20"/>
        </w:rPr>
        <w:t>These</w:t>
      </w:r>
      <w:r w:rsidRPr="00891A92">
        <w:rPr>
          <w:rFonts w:ascii="Arial" w:hAnsi="Arial" w:cs="Arial"/>
          <w:sz w:val="20"/>
        </w:rPr>
        <w:t xml:space="preserve"> models </w:t>
      </w:r>
      <w:r>
        <w:rPr>
          <w:rFonts w:ascii="Arial" w:hAnsi="Arial" w:cs="Arial"/>
          <w:sz w:val="20"/>
        </w:rPr>
        <w:t>were intended to correspond to a future massive MTC scenario. It is our opinion that the accuracy of these models have not changed since Release 13 and that they may be used also in the mMTC self-evaluations.</w:t>
      </w:r>
    </w:p>
    <w:p w14:paraId="6D404CCE" w14:textId="62A6BBD2" w:rsidR="00FD465C" w:rsidRPr="00F979C9" w:rsidRDefault="00F979C9" w:rsidP="00F979C9">
      <w:pPr>
        <w:tabs>
          <w:tab w:val="left" w:pos="5245"/>
        </w:tabs>
        <w:rPr>
          <w:rFonts w:ascii="Arial" w:hAnsi="Arial" w:cs="Arial"/>
          <w:b/>
          <w:sz w:val="20"/>
        </w:rPr>
      </w:pPr>
      <w:r>
        <w:rPr>
          <w:rFonts w:ascii="Arial" w:hAnsi="Arial" w:cs="Arial"/>
          <w:b/>
          <w:sz w:val="20"/>
        </w:rPr>
        <w:t xml:space="preserve">Proposal 1: </w:t>
      </w:r>
      <w:r w:rsidR="00467124">
        <w:rPr>
          <w:rFonts w:ascii="Arial" w:hAnsi="Arial" w:cs="Arial"/>
          <w:b/>
          <w:sz w:val="20"/>
        </w:rPr>
        <w:t>F</w:t>
      </w:r>
      <w:r>
        <w:rPr>
          <w:rFonts w:ascii="Arial" w:hAnsi="Arial" w:cs="Arial"/>
          <w:b/>
          <w:sz w:val="20"/>
        </w:rPr>
        <w:t xml:space="preserve">ollow the </w:t>
      </w:r>
      <w:r w:rsidR="005E0017">
        <w:rPr>
          <w:rFonts w:ascii="Arial" w:hAnsi="Arial" w:cs="Arial"/>
          <w:b/>
          <w:sz w:val="20"/>
        </w:rPr>
        <w:t>Release 13</w:t>
      </w:r>
      <w:r>
        <w:rPr>
          <w:rFonts w:ascii="Arial" w:hAnsi="Arial" w:cs="Arial"/>
          <w:b/>
          <w:sz w:val="20"/>
        </w:rPr>
        <w:t xml:space="preserve"> MAR and NC traffic models described </w:t>
      </w:r>
      <w:r w:rsidR="005E0017">
        <w:rPr>
          <w:rFonts w:ascii="Arial" w:hAnsi="Arial" w:cs="Arial"/>
          <w:b/>
          <w:sz w:val="20"/>
        </w:rPr>
        <w:t xml:space="preserve">in TR 45.820 </w:t>
      </w:r>
      <w:r w:rsidR="005E0017">
        <w:rPr>
          <w:rFonts w:ascii="Arial" w:hAnsi="Arial" w:cs="Arial"/>
          <w:b/>
          <w:sz w:val="20"/>
        </w:rPr>
        <w:fldChar w:fldCharType="begin"/>
      </w:r>
      <w:r w:rsidR="005E0017">
        <w:rPr>
          <w:rFonts w:ascii="Arial" w:hAnsi="Arial" w:cs="Arial"/>
          <w:b/>
          <w:sz w:val="20"/>
        </w:rPr>
        <w:instrText xml:space="preserve"> REF _Ref463001619 \r \h </w:instrText>
      </w:r>
      <w:r w:rsidR="005E0017">
        <w:rPr>
          <w:rFonts w:ascii="Arial" w:hAnsi="Arial" w:cs="Arial"/>
          <w:b/>
          <w:sz w:val="20"/>
        </w:rPr>
      </w:r>
      <w:r w:rsidR="005E0017">
        <w:rPr>
          <w:rFonts w:ascii="Arial" w:hAnsi="Arial" w:cs="Arial"/>
          <w:b/>
          <w:sz w:val="20"/>
        </w:rPr>
        <w:fldChar w:fldCharType="separate"/>
      </w:r>
      <w:r w:rsidR="00140E5C">
        <w:rPr>
          <w:rFonts w:ascii="Arial" w:hAnsi="Arial" w:cs="Arial"/>
          <w:b/>
          <w:sz w:val="20"/>
        </w:rPr>
        <w:t>[3]</w:t>
      </w:r>
      <w:r w:rsidR="005E0017">
        <w:rPr>
          <w:rFonts w:ascii="Arial" w:hAnsi="Arial" w:cs="Arial"/>
          <w:b/>
          <w:sz w:val="20"/>
        </w:rPr>
        <w:fldChar w:fldCharType="end"/>
      </w:r>
      <w:r w:rsidR="005E0017">
        <w:rPr>
          <w:rFonts w:ascii="Arial" w:hAnsi="Arial" w:cs="Arial"/>
          <w:b/>
          <w:sz w:val="20"/>
        </w:rPr>
        <w:t xml:space="preserve"> and summarized herein</w:t>
      </w:r>
      <w:r>
        <w:rPr>
          <w:rFonts w:ascii="Arial" w:hAnsi="Arial" w:cs="Arial"/>
          <w:b/>
          <w:sz w:val="20"/>
        </w:rPr>
        <w:t xml:space="preserve"> when evaluating NB-IoT and eMTC in the IMT-2020 self-evaluations.</w:t>
      </w:r>
    </w:p>
    <w:p w14:paraId="73EDDB86" w14:textId="232A1439" w:rsidR="00813B2A" w:rsidRDefault="00813B2A" w:rsidP="00813B2A">
      <w:pPr>
        <w:pStyle w:val="Heading3"/>
        <w:ind w:left="1134" w:hanging="1134"/>
        <w:rPr>
          <w:rFonts w:eastAsia="Times New Roman" w:cs="Times New Roman"/>
          <w:szCs w:val="20"/>
        </w:rPr>
      </w:pPr>
      <w:r>
        <w:rPr>
          <w:rFonts w:eastAsia="Times New Roman" w:cs="Times New Roman"/>
          <w:szCs w:val="20"/>
        </w:rPr>
        <w:lastRenderedPageBreak/>
        <w:t>Channel model</w:t>
      </w:r>
    </w:p>
    <w:p w14:paraId="73B8073B" w14:textId="5F33806C" w:rsidR="008A083F" w:rsidRDefault="00BA4134" w:rsidP="008A083F">
      <w:pPr>
        <w:rPr>
          <w:rFonts w:ascii="Arial" w:hAnsi="Arial" w:cs="Arial"/>
          <w:sz w:val="20"/>
        </w:rPr>
      </w:pPr>
      <w:r w:rsidRPr="00BA4134">
        <w:rPr>
          <w:rFonts w:ascii="Arial" w:hAnsi="Arial" w:cs="Arial"/>
          <w:sz w:val="20"/>
        </w:rPr>
        <w:t xml:space="preserve">Just as TR 38.913, TR 45.820 required the evaluated technology to support a </w:t>
      </w:r>
      <w:r w:rsidR="00476100">
        <w:rPr>
          <w:rFonts w:ascii="Arial" w:hAnsi="Arial" w:cs="Arial"/>
          <w:sz w:val="20"/>
        </w:rPr>
        <w:t>coverage ranging up to</w:t>
      </w:r>
      <w:r w:rsidRPr="00BA4134">
        <w:rPr>
          <w:rFonts w:ascii="Arial" w:hAnsi="Arial" w:cs="Arial"/>
          <w:sz w:val="20"/>
        </w:rPr>
        <w:t xml:space="preserve"> 164 dB.</w:t>
      </w:r>
      <w:r>
        <w:rPr>
          <w:rFonts w:ascii="Arial" w:hAnsi="Arial" w:cs="Arial"/>
          <w:sz w:val="20"/>
        </w:rPr>
        <w:t xml:space="preserve"> To show that this coverage was supported on system level </w:t>
      </w:r>
      <w:r w:rsidR="00102332" w:rsidRPr="00BA4134">
        <w:rPr>
          <w:rFonts w:ascii="Arial" w:hAnsi="Arial" w:cs="Arial"/>
          <w:sz w:val="20"/>
        </w:rPr>
        <w:t xml:space="preserve">TR 45.820 </w:t>
      </w:r>
      <w:r w:rsidR="00102332">
        <w:rPr>
          <w:rFonts w:ascii="Arial" w:hAnsi="Arial" w:cs="Arial"/>
          <w:sz w:val="20"/>
        </w:rPr>
        <w:t>contains a</w:t>
      </w:r>
      <w:r>
        <w:rPr>
          <w:rFonts w:ascii="Arial" w:hAnsi="Arial" w:cs="Arial"/>
          <w:sz w:val="20"/>
        </w:rPr>
        <w:t xml:space="preserve"> channel model that contained a </w:t>
      </w:r>
      <w:r w:rsidRPr="008A083F">
        <w:rPr>
          <w:rFonts w:ascii="Arial" w:hAnsi="Arial" w:cs="Arial"/>
          <w:sz w:val="20"/>
        </w:rPr>
        <w:t xml:space="preserve">distance dependent path loss </w:t>
      </w:r>
      <w:r w:rsidR="003B68B6" w:rsidRPr="008A083F">
        <w:rPr>
          <w:rFonts w:ascii="Arial" w:hAnsi="Arial" w:cs="Arial"/>
          <w:sz w:val="20"/>
        </w:rPr>
        <w:t>component</w:t>
      </w:r>
      <w:r w:rsidRPr="008A083F">
        <w:rPr>
          <w:rFonts w:ascii="Arial" w:hAnsi="Arial" w:cs="Arial"/>
          <w:sz w:val="20"/>
        </w:rPr>
        <w:t xml:space="preserve"> and an outdoor to indoor</w:t>
      </w:r>
      <w:r w:rsidR="00C95389">
        <w:rPr>
          <w:rFonts w:ascii="Arial" w:hAnsi="Arial" w:cs="Arial"/>
          <w:sz w:val="20"/>
        </w:rPr>
        <w:t xml:space="preserve"> (O2I)</w:t>
      </w:r>
      <w:r w:rsidRPr="008A083F">
        <w:rPr>
          <w:rFonts w:ascii="Arial" w:hAnsi="Arial" w:cs="Arial"/>
          <w:sz w:val="20"/>
        </w:rPr>
        <w:t xml:space="preserve"> penetration loss </w:t>
      </w:r>
      <w:r w:rsidR="008A083F" w:rsidRPr="008A083F">
        <w:rPr>
          <w:rFonts w:ascii="Arial" w:hAnsi="Arial" w:cs="Arial"/>
          <w:sz w:val="20"/>
        </w:rPr>
        <w:t>component</w:t>
      </w:r>
      <w:r w:rsidRPr="008A083F">
        <w:rPr>
          <w:rFonts w:ascii="Arial" w:hAnsi="Arial" w:cs="Arial"/>
          <w:sz w:val="20"/>
        </w:rPr>
        <w:t xml:space="preserve">. </w:t>
      </w:r>
      <w:r w:rsidR="00435962">
        <w:rPr>
          <w:rFonts w:ascii="Arial" w:hAnsi="Arial" w:cs="Arial"/>
          <w:sz w:val="20"/>
        </w:rPr>
        <w:fldChar w:fldCharType="begin"/>
      </w:r>
      <w:r w:rsidR="00435962">
        <w:rPr>
          <w:rFonts w:ascii="Arial" w:hAnsi="Arial" w:cs="Arial"/>
          <w:sz w:val="20"/>
        </w:rPr>
        <w:instrText xml:space="preserve"> REF _Ref474710558 \h </w:instrText>
      </w:r>
      <w:r w:rsidR="00435962">
        <w:rPr>
          <w:rFonts w:ascii="Arial" w:hAnsi="Arial" w:cs="Arial"/>
          <w:sz w:val="20"/>
        </w:rPr>
      </w:r>
      <w:r w:rsidR="00435962">
        <w:rPr>
          <w:rFonts w:ascii="Arial" w:hAnsi="Arial" w:cs="Arial"/>
          <w:sz w:val="20"/>
        </w:rPr>
        <w:fldChar w:fldCharType="separate"/>
      </w:r>
      <w:r w:rsidR="00140E5C" w:rsidRPr="00FD465C">
        <w:rPr>
          <w:rFonts w:ascii="Arial" w:hAnsi="Arial" w:cs="Arial"/>
          <w:sz w:val="20"/>
        </w:rPr>
        <w:t xml:space="preserve">Table </w:t>
      </w:r>
      <w:r w:rsidR="00140E5C">
        <w:rPr>
          <w:rFonts w:ascii="Arial" w:hAnsi="Arial" w:cs="Arial"/>
          <w:noProof/>
          <w:sz w:val="20"/>
        </w:rPr>
        <w:t>3</w:t>
      </w:r>
      <w:r w:rsidR="00435962">
        <w:rPr>
          <w:rFonts w:ascii="Arial" w:hAnsi="Arial" w:cs="Arial"/>
          <w:sz w:val="20"/>
        </w:rPr>
        <w:fldChar w:fldCharType="end"/>
      </w:r>
      <w:r w:rsidR="004A67C4">
        <w:rPr>
          <w:rFonts w:ascii="Arial" w:hAnsi="Arial" w:cs="Arial"/>
          <w:sz w:val="20"/>
        </w:rPr>
        <w:t xml:space="preserve"> </w:t>
      </w:r>
      <w:r w:rsidR="008A083F" w:rsidRPr="008A083F">
        <w:rPr>
          <w:rFonts w:ascii="Arial" w:hAnsi="Arial" w:cs="Arial"/>
          <w:sz w:val="20"/>
        </w:rPr>
        <w:t xml:space="preserve">and </w:t>
      </w:r>
      <w:r w:rsidR="008A083F" w:rsidRPr="008A083F">
        <w:rPr>
          <w:rFonts w:ascii="Arial" w:hAnsi="Arial" w:cs="Arial"/>
          <w:sz w:val="20"/>
        </w:rPr>
        <w:fldChar w:fldCharType="begin"/>
      </w:r>
      <w:r w:rsidR="008A083F" w:rsidRPr="008A083F">
        <w:rPr>
          <w:rFonts w:ascii="Arial" w:hAnsi="Arial" w:cs="Arial"/>
          <w:sz w:val="20"/>
        </w:rPr>
        <w:instrText xml:space="preserve"> REF _Ref474687130 \h </w:instrText>
      </w:r>
      <w:r w:rsidR="008A083F">
        <w:rPr>
          <w:rFonts w:ascii="Arial" w:hAnsi="Arial" w:cs="Arial"/>
          <w:sz w:val="20"/>
        </w:rPr>
        <w:instrText xml:space="preserve"> \* MERGEFORMAT </w:instrText>
      </w:r>
      <w:r w:rsidR="008A083F" w:rsidRPr="008A083F">
        <w:rPr>
          <w:rFonts w:ascii="Arial" w:hAnsi="Arial" w:cs="Arial"/>
          <w:sz w:val="20"/>
        </w:rPr>
      </w:r>
      <w:r w:rsidR="008A083F" w:rsidRPr="008A083F">
        <w:rPr>
          <w:rFonts w:ascii="Arial" w:hAnsi="Arial" w:cs="Arial"/>
          <w:sz w:val="20"/>
        </w:rPr>
        <w:fldChar w:fldCharType="separate"/>
      </w:r>
      <w:r w:rsidR="00140E5C" w:rsidRPr="00FD465C">
        <w:rPr>
          <w:rFonts w:ascii="Arial" w:hAnsi="Arial" w:cs="Arial"/>
          <w:sz w:val="20"/>
        </w:rPr>
        <w:t xml:space="preserve">Table </w:t>
      </w:r>
      <w:r w:rsidR="00140E5C">
        <w:rPr>
          <w:rFonts w:ascii="Arial" w:hAnsi="Arial" w:cs="Arial"/>
          <w:noProof/>
          <w:sz w:val="20"/>
        </w:rPr>
        <w:t>4</w:t>
      </w:r>
      <w:r w:rsidR="008A083F" w:rsidRPr="008A083F">
        <w:rPr>
          <w:rFonts w:ascii="Arial" w:hAnsi="Arial" w:cs="Arial"/>
          <w:sz w:val="20"/>
        </w:rPr>
        <w:fldChar w:fldCharType="end"/>
      </w:r>
      <w:r w:rsidR="008A083F" w:rsidRPr="008A083F">
        <w:rPr>
          <w:rFonts w:ascii="Arial" w:hAnsi="Arial" w:cs="Arial"/>
          <w:sz w:val="20"/>
        </w:rPr>
        <w:t xml:space="preserve"> </w:t>
      </w:r>
      <w:r w:rsidR="004A67C4">
        <w:rPr>
          <w:rFonts w:ascii="Arial" w:hAnsi="Arial" w:cs="Arial"/>
          <w:sz w:val="20"/>
        </w:rPr>
        <w:t>show</w:t>
      </w:r>
      <w:r w:rsidR="008A083F">
        <w:rPr>
          <w:rFonts w:ascii="Arial" w:hAnsi="Arial" w:cs="Arial"/>
          <w:sz w:val="20"/>
        </w:rPr>
        <w:t xml:space="preserve"> relevant extracts from TR 45.820 to understand </w:t>
      </w:r>
      <w:r w:rsidR="004A67C4">
        <w:rPr>
          <w:rFonts w:ascii="Arial" w:hAnsi="Arial" w:cs="Arial"/>
          <w:sz w:val="20"/>
        </w:rPr>
        <w:t xml:space="preserve">the </w:t>
      </w:r>
      <w:r w:rsidR="008A083F">
        <w:rPr>
          <w:rFonts w:ascii="Arial" w:hAnsi="Arial" w:cs="Arial"/>
          <w:sz w:val="20"/>
        </w:rPr>
        <w:t xml:space="preserve">vital parts of the </w:t>
      </w:r>
      <w:r w:rsidR="004A67C4">
        <w:rPr>
          <w:rFonts w:ascii="Arial" w:hAnsi="Arial" w:cs="Arial"/>
          <w:sz w:val="20"/>
        </w:rPr>
        <w:t>therein contained</w:t>
      </w:r>
      <w:r w:rsidR="00461155">
        <w:rPr>
          <w:rFonts w:ascii="Arial" w:hAnsi="Arial" w:cs="Arial"/>
          <w:sz w:val="20"/>
        </w:rPr>
        <w:t xml:space="preserve"> </w:t>
      </w:r>
      <w:r w:rsidR="008A083F">
        <w:rPr>
          <w:rFonts w:ascii="Arial" w:hAnsi="Arial" w:cs="Arial"/>
          <w:sz w:val="20"/>
        </w:rPr>
        <w:t xml:space="preserve">channel model . </w:t>
      </w:r>
    </w:p>
    <w:p w14:paraId="54997011" w14:textId="3C61B652" w:rsidR="008A083F" w:rsidRPr="00FD465C" w:rsidRDefault="008A083F" w:rsidP="008A083F">
      <w:pPr>
        <w:pStyle w:val="Caption"/>
        <w:rPr>
          <w:rFonts w:ascii="Arial" w:hAnsi="Arial" w:cs="Arial"/>
          <w:sz w:val="20"/>
        </w:rPr>
      </w:pPr>
      <w:bookmarkStart w:id="6" w:name="_Ref474710558"/>
      <w:r w:rsidRPr="00FD465C">
        <w:rPr>
          <w:rFonts w:ascii="Arial" w:hAnsi="Arial" w:cs="Arial"/>
          <w:sz w:val="20"/>
        </w:rPr>
        <w:t xml:space="preserve">Table </w:t>
      </w:r>
      <w:r w:rsidRPr="00FD465C">
        <w:rPr>
          <w:rFonts w:ascii="Arial" w:hAnsi="Arial" w:cs="Arial"/>
          <w:sz w:val="20"/>
        </w:rPr>
        <w:fldChar w:fldCharType="begin"/>
      </w:r>
      <w:r w:rsidRPr="00FD465C">
        <w:rPr>
          <w:rFonts w:ascii="Arial" w:hAnsi="Arial" w:cs="Arial"/>
          <w:sz w:val="20"/>
        </w:rPr>
        <w:instrText xml:space="preserve"> SEQ Table \* ARABIC </w:instrText>
      </w:r>
      <w:r w:rsidRPr="00FD465C">
        <w:rPr>
          <w:rFonts w:ascii="Arial" w:hAnsi="Arial" w:cs="Arial"/>
          <w:sz w:val="20"/>
        </w:rPr>
        <w:fldChar w:fldCharType="separate"/>
      </w:r>
      <w:r w:rsidR="00140E5C">
        <w:rPr>
          <w:rFonts w:ascii="Arial" w:hAnsi="Arial" w:cs="Arial"/>
          <w:noProof/>
          <w:sz w:val="20"/>
        </w:rPr>
        <w:t>3</w:t>
      </w:r>
      <w:r w:rsidRPr="00FD465C">
        <w:rPr>
          <w:rFonts w:ascii="Arial" w:hAnsi="Arial" w:cs="Arial"/>
          <w:sz w:val="20"/>
        </w:rPr>
        <w:fldChar w:fldCharType="end"/>
      </w:r>
      <w:bookmarkEnd w:id="6"/>
      <w:r w:rsidRPr="00FD465C">
        <w:rPr>
          <w:rFonts w:ascii="Arial" w:hAnsi="Arial" w:cs="Arial"/>
          <w:sz w:val="20"/>
        </w:rPr>
        <w:t xml:space="preserve"> Channel model parameters</w:t>
      </w:r>
      <w:r w:rsidR="00461155">
        <w:rPr>
          <w:rFonts w:ascii="Arial" w:hAnsi="Arial" w:cs="Arial"/>
          <w:sz w:val="20"/>
        </w:rPr>
        <w:t xml:space="preserve"> </w:t>
      </w:r>
      <w:r w:rsidR="00461155">
        <w:rPr>
          <w:rFonts w:ascii="Arial" w:hAnsi="Arial" w:cs="Arial"/>
          <w:sz w:val="20"/>
        </w:rPr>
        <w:fldChar w:fldCharType="begin"/>
      </w:r>
      <w:r w:rsidR="00461155">
        <w:rPr>
          <w:rFonts w:ascii="Arial" w:hAnsi="Arial" w:cs="Arial"/>
          <w:sz w:val="20"/>
        </w:rPr>
        <w:instrText xml:space="preserve"> REF _Ref463001619 \r \h </w:instrText>
      </w:r>
      <w:r w:rsidR="00461155">
        <w:rPr>
          <w:rFonts w:ascii="Arial" w:hAnsi="Arial" w:cs="Arial"/>
          <w:sz w:val="20"/>
        </w:rPr>
      </w:r>
      <w:r w:rsidR="00461155">
        <w:rPr>
          <w:rFonts w:ascii="Arial" w:hAnsi="Arial" w:cs="Arial"/>
          <w:sz w:val="20"/>
        </w:rPr>
        <w:fldChar w:fldCharType="separate"/>
      </w:r>
      <w:r w:rsidR="00140E5C">
        <w:rPr>
          <w:rFonts w:ascii="Arial" w:hAnsi="Arial" w:cs="Arial"/>
          <w:sz w:val="20"/>
        </w:rPr>
        <w:t>[3]</w:t>
      </w:r>
      <w:r w:rsidR="00461155">
        <w:rPr>
          <w:rFonts w:ascii="Arial" w:hAnsi="Arial" w:cs="Arial"/>
          <w:sz w:val="20"/>
        </w:rPr>
        <w:fldChar w:fldCharType="end"/>
      </w:r>
      <w:r w:rsidRPr="00FD465C">
        <w:rPr>
          <w:rFonts w:ascii="Arial" w:hAnsi="Arial" w:cs="Arial"/>
          <w:sz w:val="20"/>
        </w:rPr>
        <w:t>.</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4"/>
        <w:gridCol w:w="2543"/>
        <w:gridCol w:w="5354"/>
      </w:tblGrid>
      <w:tr w:rsidR="008A083F" w:rsidRPr="008A083F" w14:paraId="23C628F1" w14:textId="77777777" w:rsidTr="008F62DC">
        <w:trPr>
          <w:jc w:val="center"/>
        </w:trPr>
        <w:tc>
          <w:tcPr>
            <w:tcW w:w="3577" w:type="dxa"/>
            <w:gridSpan w:val="2"/>
            <w:tcBorders>
              <w:top w:val="single" w:sz="4" w:space="0" w:color="auto"/>
              <w:left w:val="single" w:sz="4" w:space="0" w:color="auto"/>
              <w:bottom w:val="single" w:sz="4" w:space="0" w:color="auto"/>
              <w:right w:val="single" w:sz="4" w:space="0" w:color="auto"/>
            </w:tcBorders>
            <w:vAlign w:val="center"/>
            <w:hideMark/>
          </w:tcPr>
          <w:p w14:paraId="67EB4308" w14:textId="752FA3F9" w:rsidR="008A083F" w:rsidRPr="008A083F" w:rsidRDefault="008A083F" w:rsidP="008A083F">
            <w:pPr>
              <w:pStyle w:val="TAH"/>
            </w:pPr>
            <w:r w:rsidRPr="008A083F">
              <w:t>Parameter</w:t>
            </w:r>
          </w:p>
        </w:tc>
        <w:tc>
          <w:tcPr>
            <w:tcW w:w="5354" w:type="dxa"/>
            <w:tcBorders>
              <w:top w:val="single" w:sz="4" w:space="0" w:color="auto"/>
              <w:left w:val="single" w:sz="4" w:space="0" w:color="auto"/>
              <w:bottom w:val="single" w:sz="4" w:space="0" w:color="auto"/>
              <w:right w:val="single" w:sz="4" w:space="0" w:color="auto"/>
            </w:tcBorders>
            <w:vAlign w:val="center"/>
            <w:hideMark/>
          </w:tcPr>
          <w:p w14:paraId="4C459085" w14:textId="28E3F1E2" w:rsidR="008A083F" w:rsidRPr="008A083F" w:rsidRDefault="008A083F" w:rsidP="008A083F">
            <w:pPr>
              <w:pStyle w:val="TAH"/>
            </w:pPr>
            <w:r w:rsidRPr="008A083F">
              <w:t>Value</w:t>
            </w:r>
          </w:p>
        </w:tc>
      </w:tr>
      <w:tr w:rsidR="008A083F" w:rsidRPr="008A083F" w14:paraId="09926A99" w14:textId="77777777" w:rsidTr="008A083F">
        <w:trPr>
          <w:jc w:val="center"/>
        </w:trPr>
        <w:tc>
          <w:tcPr>
            <w:tcW w:w="3577" w:type="dxa"/>
            <w:gridSpan w:val="2"/>
            <w:tcBorders>
              <w:top w:val="single" w:sz="4" w:space="0" w:color="auto"/>
              <w:left w:val="single" w:sz="4" w:space="0" w:color="auto"/>
              <w:bottom w:val="single" w:sz="4" w:space="0" w:color="auto"/>
              <w:right w:val="single" w:sz="4" w:space="0" w:color="auto"/>
            </w:tcBorders>
            <w:vAlign w:val="center"/>
            <w:hideMark/>
          </w:tcPr>
          <w:p w14:paraId="04E8DF25" w14:textId="01FEFFDF" w:rsidR="008A083F" w:rsidRPr="008A083F" w:rsidRDefault="008A083F" w:rsidP="008F62DC">
            <w:pPr>
              <w:pStyle w:val="TAL"/>
              <w:rPr>
                <w:lang w:eastAsia="zh-CN"/>
              </w:rPr>
            </w:pPr>
            <w:r w:rsidRPr="008A083F">
              <w:rPr>
                <w:lang w:eastAsia="zh-CN"/>
              </w:rPr>
              <w:t>Path loss model</w:t>
            </w:r>
          </w:p>
        </w:tc>
        <w:tc>
          <w:tcPr>
            <w:tcW w:w="5354" w:type="dxa"/>
            <w:tcBorders>
              <w:top w:val="single" w:sz="4" w:space="0" w:color="auto"/>
              <w:left w:val="single" w:sz="4" w:space="0" w:color="auto"/>
              <w:bottom w:val="single" w:sz="4" w:space="0" w:color="auto"/>
              <w:right w:val="single" w:sz="4" w:space="0" w:color="auto"/>
            </w:tcBorders>
            <w:vAlign w:val="center"/>
            <w:hideMark/>
          </w:tcPr>
          <w:p w14:paraId="74C534CD" w14:textId="2F769721" w:rsidR="008A083F" w:rsidRPr="000E3D28" w:rsidRDefault="008A083F" w:rsidP="008F62DC">
            <w:pPr>
              <w:pStyle w:val="TAL"/>
              <w:rPr>
                <w:lang w:val="sv-SE" w:eastAsia="zh-CN"/>
              </w:rPr>
            </w:pPr>
            <w:r w:rsidRPr="000E3D28">
              <w:rPr>
                <w:lang w:val="sv-SE" w:eastAsia="zh-CN"/>
              </w:rPr>
              <w:t xml:space="preserve">L=I + 37.6log10(.R), R in </w:t>
            </w:r>
            <w:r w:rsidR="00465AC4" w:rsidRPr="000E3D28">
              <w:rPr>
                <w:lang w:val="sv-SE" w:eastAsia="zh-CN"/>
              </w:rPr>
              <w:t>kilometers</w:t>
            </w:r>
          </w:p>
          <w:p w14:paraId="4C879CAD" w14:textId="77777777" w:rsidR="008A083F" w:rsidRPr="008A083F" w:rsidRDefault="008A083F" w:rsidP="008F62DC">
            <w:pPr>
              <w:pStyle w:val="TAL"/>
              <w:rPr>
                <w:lang w:eastAsia="zh-CN"/>
              </w:rPr>
            </w:pPr>
            <w:r w:rsidRPr="008A083F">
              <w:rPr>
                <w:lang w:eastAsia="zh-CN"/>
              </w:rPr>
              <w:t>I=120.9 for the 900 MHz band</w:t>
            </w:r>
          </w:p>
        </w:tc>
      </w:tr>
      <w:tr w:rsidR="008A083F" w:rsidRPr="008A083F" w14:paraId="3F2DE489" w14:textId="77777777" w:rsidTr="008A083F">
        <w:trPr>
          <w:jc w:val="center"/>
        </w:trPr>
        <w:tc>
          <w:tcPr>
            <w:tcW w:w="3577" w:type="dxa"/>
            <w:gridSpan w:val="2"/>
            <w:tcBorders>
              <w:top w:val="single" w:sz="4" w:space="0" w:color="auto"/>
              <w:left w:val="single" w:sz="4" w:space="0" w:color="auto"/>
              <w:bottom w:val="single" w:sz="4" w:space="0" w:color="auto"/>
              <w:right w:val="single" w:sz="4" w:space="0" w:color="auto"/>
            </w:tcBorders>
            <w:vAlign w:val="center"/>
            <w:hideMark/>
          </w:tcPr>
          <w:p w14:paraId="7417DCDE" w14:textId="77777777" w:rsidR="008A083F" w:rsidRPr="008A083F" w:rsidRDefault="008A083F" w:rsidP="008F62DC">
            <w:pPr>
              <w:pStyle w:val="TAL"/>
              <w:rPr>
                <w:lang w:eastAsia="zh-CN"/>
              </w:rPr>
            </w:pPr>
            <w:r w:rsidRPr="008A083F">
              <w:rPr>
                <w:lang w:eastAsia="zh-CN"/>
              </w:rPr>
              <w:t>Shadowing standard deviation</w:t>
            </w:r>
          </w:p>
        </w:tc>
        <w:tc>
          <w:tcPr>
            <w:tcW w:w="5354" w:type="dxa"/>
            <w:tcBorders>
              <w:top w:val="single" w:sz="4" w:space="0" w:color="auto"/>
              <w:left w:val="single" w:sz="4" w:space="0" w:color="auto"/>
              <w:bottom w:val="single" w:sz="4" w:space="0" w:color="auto"/>
              <w:right w:val="single" w:sz="4" w:space="0" w:color="auto"/>
            </w:tcBorders>
            <w:vAlign w:val="center"/>
            <w:hideMark/>
          </w:tcPr>
          <w:p w14:paraId="52812323" w14:textId="77777777" w:rsidR="008A083F" w:rsidRPr="008A083F" w:rsidRDefault="008A083F" w:rsidP="008F62DC">
            <w:pPr>
              <w:pStyle w:val="TAL"/>
              <w:rPr>
                <w:lang w:eastAsia="zh-CN"/>
              </w:rPr>
            </w:pPr>
            <w:r w:rsidRPr="008A083F">
              <w:rPr>
                <w:lang w:eastAsia="zh-CN"/>
              </w:rPr>
              <w:t>8 dB</w:t>
            </w:r>
          </w:p>
        </w:tc>
      </w:tr>
      <w:tr w:rsidR="008A083F" w:rsidRPr="008A083F" w14:paraId="6BE872F2" w14:textId="77777777" w:rsidTr="008A083F">
        <w:trPr>
          <w:jc w:val="center"/>
        </w:trPr>
        <w:tc>
          <w:tcPr>
            <w:tcW w:w="3577" w:type="dxa"/>
            <w:gridSpan w:val="2"/>
            <w:tcBorders>
              <w:top w:val="single" w:sz="4" w:space="0" w:color="auto"/>
              <w:left w:val="single" w:sz="4" w:space="0" w:color="auto"/>
              <w:bottom w:val="single" w:sz="4" w:space="0" w:color="auto"/>
              <w:right w:val="single" w:sz="4" w:space="0" w:color="auto"/>
            </w:tcBorders>
            <w:vAlign w:val="center"/>
            <w:hideMark/>
          </w:tcPr>
          <w:p w14:paraId="00FE2AC2" w14:textId="77777777" w:rsidR="008A083F" w:rsidRPr="008A083F" w:rsidRDefault="008A083F" w:rsidP="008F62DC">
            <w:pPr>
              <w:pStyle w:val="TAL"/>
              <w:rPr>
                <w:lang w:eastAsia="zh-CN"/>
              </w:rPr>
            </w:pPr>
            <w:r w:rsidRPr="008A083F">
              <w:rPr>
                <w:lang w:eastAsia="zh-CN"/>
              </w:rPr>
              <w:t>Correlation distance of Shadowing</w:t>
            </w:r>
          </w:p>
        </w:tc>
        <w:tc>
          <w:tcPr>
            <w:tcW w:w="5354" w:type="dxa"/>
            <w:tcBorders>
              <w:top w:val="single" w:sz="4" w:space="0" w:color="auto"/>
              <w:left w:val="single" w:sz="4" w:space="0" w:color="auto"/>
              <w:bottom w:val="single" w:sz="4" w:space="0" w:color="auto"/>
              <w:right w:val="single" w:sz="4" w:space="0" w:color="auto"/>
            </w:tcBorders>
            <w:vAlign w:val="center"/>
            <w:hideMark/>
          </w:tcPr>
          <w:p w14:paraId="31BAF226" w14:textId="77777777" w:rsidR="008A083F" w:rsidRPr="008A083F" w:rsidRDefault="008A083F" w:rsidP="008F62DC">
            <w:pPr>
              <w:pStyle w:val="TAL"/>
              <w:rPr>
                <w:lang w:eastAsia="zh-CN"/>
              </w:rPr>
            </w:pPr>
            <w:r w:rsidRPr="008A083F">
              <w:rPr>
                <w:lang w:eastAsia="zh-CN"/>
              </w:rPr>
              <w:t xml:space="preserve">110 m </w:t>
            </w:r>
          </w:p>
        </w:tc>
      </w:tr>
      <w:tr w:rsidR="008A083F" w:rsidRPr="008A083F" w14:paraId="12BFC6E0" w14:textId="77777777" w:rsidTr="00357668">
        <w:trPr>
          <w:trHeight w:val="281"/>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D21148C" w14:textId="77777777" w:rsidR="008A083F" w:rsidRPr="008A083F" w:rsidRDefault="008A083F" w:rsidP="008F62DC">
            <w:pPr>
              <w:pStyle w:val="TAL"/>
              <w:rPr>
                <w:lang w:eastAsia="zh-CN"/>
              </w:rPr>
            </w:pPr>
            <w:r w:rsidRPr="008A083F">
              <w:rPr>
                <w:lang w:eastAsia="zh-CN"/>
              </w:rPr>
              <w:t>Shadowing correlation</w:t>
            </w:r>
          </w:p>
        </w:tc>
        <w:tc>
          <w:tcPr>
            <w:tcW w:w="2543" w:type="dxa"/>
            <w:tcBorders>
              <w:top w:val="single" w:sz="4" w:space="0" w:color="auto"/>
              <w:left w:val="single" w:sz="4" w:space="0" w:color="auto"/>
              <w:bottom w:val="single" w:sz="4" w:space="0" w:color="auto"/>
              <w:right w:val="single" w:sz="4" w:space="0" w:color="auto"/>
            </w:tcBorders>
            <w:vAlign w:val="center"/>
          </w:tcPr>
          <w:p w14:paraId="61D1ED5E" w14:textId="418E637B" w:rsidR="008A083F" w:rsidRPr="008A083F" w:rsidRDefault="008A083F" w:rsidP="00357668">
            <w:pPr>
              <w:pStyle w:val="TAL"/>
              <w:rPr>
                <w:lang w:eastAsia="zh-CN"/>
              </w:rPr>
            </w:pPr>
            <w:r w:rsidRPr="008A083F">
              <w:rPr>
                <w:lang w:eastAsia="zh-CN"/>
              </w:rPr>
              <w:t>Between cell sites</w:t>
            </w:r>
          </w:p>
        </w:tc>
        <w:tc>
          <w:tcPr>
            <w:tcW w:w="5354" w:type="dxa"/>
            <w:tcBorders>
              <w:top w:val="single" w:sz="4" w:space="0" w:color="auto"/>
              <w:left w:val="single" w:sz="4" w:space="0" w:color="auto"/>
              <w:bottom w:val="single" w:sz="4" w:space="0" w:color="auto"/>
              <w:right w:val="single" w:sz="4" w:space="0" w:color="auto"/>
            </w:tcBorders>
            <w:vAlign w:val="center"/>
            <w:hideMark/>
          </w:tcPr>
          <w:p w14:paraId="4D8C199F" w14:textId="77777777" w:rsidR="008A083F" w:rsidRPr="008A083F" w:rsidRDefault="008A083F" w:rsidP="008F62DC">
            <w:pPr>
              <w:pStyle w:val="TAL"/>
              <w:rPr>
                <w:lang w:eastAsia="zh-CN"/>
              </w:rPr>
            </w:pPr>
            <w:r w:rsidRPr="008A083F">
              <w:rPr>
                <w:lang w:eastAsia="zh-CN"/>
              </w:rPr>
              <w:t>0.5</w:t>
            </w:r>
          </w:p>
        </w:tc>
      </w:tr>
      <w:tr w:rsidR="008A083F" w:rsidRPr="008A083F" w14:paraId="093D1B3F" w14:textId="77777777" w:rsidTr="00357668">
        <w:trPr>
          <w:trHeight w:val="20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1A39D8E" w14:textId="77777777" w:rsidR="008A083F" w:rsidRPr="008A083F" w:rsidRDefault="008A083F" w:rsidP="008F62DC">
            <w:pPr>
              <w:overflowPunct/>
              <w:autoSpaceDE/>
              <w:autoSpaceDN/>
              <w:adjustRightInd/>
              <w:spacing w:after="0"/>
              <w:rPr>
                <w:rFonts w:ascii="Arial" w:eastAsia="Times New Roman" w:hAnsi="Arial"/>
                <w:sz w:val="18"/>
              </w:rPr>
            </w:pPr>
          </w:p>
        </w:tc>
        <w:tc>
          <w:tcPr>
            <w:tcW w:w="2543" w:type="dxa"/>
            <w:tcBorders>
              <w:top w:val="single" w:sz="4" w:space="0" w:color="auto"/>
              <w:left w:val="single" w:sz="4" w:space="0" w:color="auto"/>
              <w:bottom w:val="single" w:sz="4" w:space="0" w:color="auto"/>
              <w:right w:val="single" w:sz="4" w:space="0" w:color="auto"/>
            </w:tcBorders>
            <w:vAlign w:val="center"/>
            <w:hideMark/>
          </w:tcPr>
          <w:p w14:paraId="5CE0342A" w14:textId="77777777" w:rsidR="008A083F" w:rsidRPr="008A083F" w:rsidRDefault="008A083F" w:rsidP="008F62DC">
            <w:pPr>
              <w:pStyle w:val="TAL"/>
              <w:rPr>
                <w:lang w:eastAsia="zh-CN"/>
              </w:rPr>
            </w:pPr>
            <w:r w:rsidRPr="008A083F">
              <w:rPr>
                <w:lang w:eastAsia="zh-CN"/>
              </w:rPr>
              <w:t>Between sectors of the same cell site</w:t>
            </w:r>
          </w:p>
        </w:tc>
        <w:tc>
          <w:tcPr>
            <w:tcW w:w="5354" w:type="dxa"/>
            <w:tcBorders>
              <w:top w:val="single" w:sz="4" w:space="0" w:color="auto"/>
              <w:left w:val="single" w:sz="4" w:space="0" w:color="auto"/>
              <w:bottom w:val="single" w:sz="4" w:space="0" w:color="auto"/>
              <w:right w:val="single" w:sz="4" w:space="0" w:color="auto"/>
            </w:tcBorders>
            <w:vAlign w:val="center"/>
            <w:hideMark/>
          </w:tcPr>
          <w:p w14:paraId="203E1876" w14:textId="77777777" w:rsidR="008A083F" w:rsidRPr="008A083F" w:rsidRDefault="008A083F" w:rsidP="008F62DC">
            <w:pPr>
              <w:pStyle w:val="TAL"/>
              <w:rPr>
                <w:lang w:eastAsia="zh-CN"/>
              </w:rPr>
            </w:pPr>
            <w:r w:rsidRPr="008A083F">
              <w:rPr>
                <w:lang w:eastAsia="zh-CN"/>
              </w:rPr>
              <w:t xml:space="preserve">1.0 </w:t>
            </w:r>
          </w:p>
        </w:tc>
      </w:tr>
      <w:tr w:rsidR="008A083F" w:rsidRPr="008A083F" w14:paraId="6EE11B59" w14:textId="77777777" w:rsidTr="008A083F">
        <w:trPr>
          <w:jc w:val="center"/>
        </w:trPr>
        <w:tc>
          <w:tcPr>
            <w:tcW w:w="3577" w:type="dxa"/>
            <w:gridSpan w:val="2"/>
            <w:tcBorders>
              <w:top w:val="single" w:sz="4" w:space="0" w:color="auto"/>
              <w:left w:val="single" w:sz="4" w:space="0" w:color="auto"/>
              <w:bottom w:val="single" w:sz="4" w:space="0" w:color="auto"/>
              <w:right w:val="single" w:sz="4" w:space="0" w:color="auto"/>
            </w:tcBorders>
            <w:vAlign w:val="center"/>
            <w:hideMark/>
          </w:tcPr>
          <w:p w14:paraId="3E362AA8" w14:textId="77777777" w:rsidR="008A083F" w:rsidRPr="008A083F" w:rsidRDefault="008A083F" w:rsidP="008F62DC">
            <w:pPr>
              <w:pStyle w:val="TAL"/>
              <w:rPr>
                <w:lang w:eastAsia="zh-CN"/>
              </w:rPr>
            </w:pPr>
            <w:r w:rsidRPr="008A083F">
              <w:rPr>
                <w:lang w:eastAsia="zh-CN"/>
              </w:rPr>
              <w:t>Antenna pattern (horizontal)</w:t>
            </w:r>
          </w:p>
          <w:p w14:paraId="3F0F41C1" w14:textId="77777777" w:rsidR="008A083F" w:rsidRPr="008A083F" w:rsidRDefault="008A083F" w:rsidP="008F62DC">
            <w:pPr>
              <w:pStyle w:val="TAL"/>
              <w:rPr>
                <w:lang w:eastAsia="zh-CN"/>
              </w:rPr>
            </w:pPr>
            <w:r w:rsidRPr="008A083F">
              <w:rPr>
                <w:lang w:eastAsia="zh-CN"/>
              </w:rPr>
              <w:t xml:space="preserve">(For 3-sector cell sites with fixed antenna patterns) </w:t>
            </w:r>
          </w:p>
        </w:tc>
        <w:tc>
          <w:tcPr>
            <w:tcW w:w="5354" w:type="dxa"/>
            <w:tcBorders>
              <w:top w:val="single" w:sz="4" w:space="0" w:color="auto"/>
              <w:left w:val="single" w:sz="4" w:space="0" w:color="auto"/>
              <w:bottom w:val="single" w:sz="4" w:space="0" w:color="auto"/>
              <w:right w:val="single" w:sz="4" w:space="0" w:color="auto"/>
            </w:tcBorders>
            <w:vAlign w:val="center"/>
            <w:hideMark/>
          </w:tcPr>
          <w:p w14:paraId="475A50F8" w14:textId="7E522AF1" w:rsidR="008A083F" w:rsidRPr="008A083F" w:rsidRDefault="008A083F" w:rsidP="008F62DC">
            <w:pPr>
              <w:pStyle w:val="TAL"/>
              <w:rPr>
                <w:lang w:eastAsia="zh-CN"/>
              </w:rPr>
            </w:pPr>
            <w:r w:rsidRPr="008A083F">
              <w:rPr>
                <w:lang w:eastAsia="zh-CN"/>
              </w:rPr>
              <w:t>See table 5-7, 3GPP TR 45.914, 65° H-plane.</w:t>
            </w:r>
          </w:p>
        </w:tc>
      </w:tr>
      <w:tr w:rsidR="008A083F" w:rsidRPr="008A083F" w14:paraId="10F4713E" w14:textId="77777777" w:rsidTr="008A083F">
        <w:trPr>
          <w:jc w:val="center"/>
        </w:trPr>
        <w:tc>
          <w:tcPr>
            <w:tcW w:w="3577" w:type="dxa"/>
            <w:gridSpan w:val="2"/>
            <w:tcBorders>
              <w:top w:val="single" w:sz="4" w:space="0" w:color="auto"/>
              <w:left w:val="single" w:sz="4" w:space="0" w:color="auto"/>
              <w:bottom w:val="single" w:sz="4" w:space="0" w:color="auto"/>
              <w:right w:val="single" w:sz="4" w:space="0" w:color="auto"/>
            </w:tcBorders>
            <w:vAlign w:val="center"/>
            <w:hideMark/>
          </w:tcPr>
          <w:p w14:paraId="3FD099C7" w14:textId="77777777" w:rsidR="008A083F" w:rsidRPr="008A083F" w:rsidRDefault="008A083F" w:rsidP="008F62DC">
            <w:pPr>
              <w:pStyle w:val="TAL"/>
              <w:rPr>
                <w:lang w:eastAsia="zh-CN"/>
              </w:rPr>
            </w:pPr>
            <w:r w:rsidRPr="008A083F">
              <w:rPr>
                <w:lang w:eastAsia="zh-CN"/>
              </w:rPr>
              <w:t>BS antenna gain</w:t>
            </w:r>
          </w:p>
        </w:tc>
        <w:tc>
          <w:tcPr>
            <w:tcW w:w="5354" w:type="dxa"/>
            <w:tcBorders>
              <w:top w:val="single" w:sz="4" w:space="0" w:color="auto"/>
              <w:left w:val="single" w:sz="4" w:space="0" w:color="auto"/>
              <w:bottom w:val="single" w:sz="4" w:space="0" w:color="auto"/>
              <w:right w:val="single" w:sz="4" w:space="0" w:color="auto"/>
            </w:tcBorders>
            <w:vAlign w:val="center"/>
            <w:hideMark/>
          </w:tcPr>
          <w:p w14:paraId="40A83B37" w14:textId="77777777" w:rsidR="008A083F" w:rsidRPr="008A083F" w:rsidRDefault="008A083F" w:rsidP="008F62DC">
            <w:pPr>
              <w:pStyle w:val="TAL"/>
              <w:rPr>
                <w:lang w:eastAsia="zh-CN"/>
              </w:rPr>
            </w:pPr>
            <w:r w:rsidRPr="008A083F">
              <w:rPr>
                <w:lang w:eastAsia="zh-CN"/>
              </w:rPr>
              <w:t>18 dBi</w:t>
            </w:r>
          </w:p>
        </w:tc>
      </w:tr>
      <w:tr w:rsidR="008A083F" w:rsidRPr="008A083F" w14:paraId="588293DF" w14:textId="77777777" w:rsidTr="008A083F">
        <w:trPr>
          <w:jc w:val="center"/>
        </w:trPr>
        <w:tc>
          <w:tcPr>
            <w:tcW w:w="3577" w:type="dxa"/>
            <w:gridSpan w:val="2"/>
            <w:tcBorders>
              <w:top w:val="single" w:sz="4" w:space="0" w:color="auto"/>
              <w:left w:val="single" w:sz="4" w:space="0" w:color="auto"/>
              <w:bottom w:val="single" w:sz="4" w:space="0" w:color="auto"/>
              <w:right w:val="single" w:sz="4" w:space="0" w:color="auto"/>
            </w:tcBorders>
            <w:vAlign w:val="center"/>
            <w:hideMark/>
          </w:tcPr>
          <w:p w14:paraId="4ED2513F" w14:textId="77777777" w:rsidR="008A083F" w:rsidRPr="008A083F" w:rsidRDefault="008A083F" w:rsidP="008F62DC">
            <w:pPr>
              <w:pStyle w:val="TAL"/>
              <w:rPr>
                <w:lang w:eastAsia="zh-CN"/>
              </w:rPr>
            </w:pPr>
            <w:r w:rsidRPr="008A083F">
              <w:rPr>
                <w:lang w:eastAsia="zh-CN"/>
              </w:rPr>
              <w:t>MS Antenna gain</w:t>
            </w:r>
          </w:p>
        </w:tc>
        <w:tc>
          <w:tcPr>
            <w:tcW w:w="5354" w:type="dxa"/>
            <w:tcBorders>
              <w:top w:val="single" w:sz="4" w:space="0" w:color="auto"/>
              <w:left w:val="single" w:sz="4" w:space="0" w:color="auto"/>
              <w:bottom w:val="single" w:sz="4" w:space="0" w:color="auto"/>
              <w:right w:val="single" w:sz="4" w:space="0" w:color="auto"/>
            </w:tcBorders>
            <w:vAlign w:val="center"/>
            <w:hideMark/>
          </w:tcPr>
          <w:p w14:paraId="7583B34D" w14:textId="77777777" w:rsidR="008A083F" w:rsidRPr="008A083F" w:rsidRDefault="008A083F" w:rsidP="008F62DC">
            <w:pPr>
              <w:pStyle w:val="TAL"/>
              <w:rPr>
                <w:lang w:eastAsia="zh-CN"/>
              </w:rPr>
            </w:pPr>
            <w:r w:rsidRPr="008A083F">
              <w:rPr>
                <w:lang w:eastAsia="zh-CN"/>
              </w:rPr>
              <w:t>-4 dBi</w:t>
            </w:r>
          </w:p>
        </w:tc>
      </w:tr>
      <w:tr w:rsidR="008A083F" w:rsidRPr="008A083F" w14:paraId="516088FF" w14:textId="77777777" w:rsidTr="008A083F">
        <w:trPr>
          <w:jc w:val="center"/>
        </w:trPr>
        <w:tc>
          <w:tcPr>
            <w:tcW w:w="3577" w:type="dxa"/>
            <w:gridSpan w:val="2"/>
            <w:tcBorders>
              <w:top w:val="single" w:sz="4" w:space="0" w:color="auto"/>
              <w:left w:val="single" w:sz="4" w:space="0" w:color="auto"/>
              <w:bottom w:val="single" w:sz="4" w:space="0" w:color="auto"/>
              <w:right w:val="single" w:sz="4" w:space="0" w:color="auto"/>
            </w:tcBorders>
            <w:vAlign w:val="center"/>
            <w:hideMark/>
          </w:tcPr>
          <w:p w14:paraId="6D038623" w14:textId="77777777" w:rsidR="008A083F" w:rsidRPr="008A083F" w:rsidRDefault="008A083F" w:rsidP="008F62DC">
            <w:pPr>
              <w:pStyle w:val="TAL"/>
              <w:rPr>
                <w:lang w:eastAsia="zh-CN"/>
              </w:rPr>
            </w:pPr>
            <w:r w:rsidRPr="008A083F">
              <w:rPr>
                <w:lang w:eastAsia="zh-CN"/>
              </w:rPr>
              <w:t>BS cable loss</w:t>
            </w:r>
          </w:p>
        </w:tc>
        <w:tc>
          <w:tcPr>
            <w:tcW w:w="5354" w:type="dxa"/>
            <w:tcBorders>
              <w:top w:val="single" w:sz="4" w:space="0" w:color="auto"/>
              <w:left w:val="single" w:sz="4" w:space="0" w:color="auto"/>
              <w:bottom w:val="single" w:sz="4" w:space="0" w:color="auto"/>
              <w:right w:val="single" w:sz="4" w:space="0" w:color="auto"/>
            </w:tcBorders>
            <w:vAlign w:val="center"/>
            <w:hideMark/>
          </w:tcPr>
          <w:p w14:paraId="3B3DEAAC" w14:textId="77777777" w:rsidR="008A083F" w:rsidRPr="008A083F" w:rsidRDefault="008A083F" w:rsidP="008F62DC">
            <w:pPr>
              <w:pStyle w:val="TAL"/>
              <w:rPr>
                <w:lang w:eastAsia="zh-CN"/>
              </w:rPr>
            </w:pPr>
            <w:r w:rsidRPr="008A083F">
              <w:rPr>
                <w:lang w:eastAsia="zh-CN"/>
              </w:rPr>
              <w:t>3 dB</w:t>
            </w:r>
          </w:p>
        </w:tc>
      </w:tr>
      <w:tr w:rsidR="008A083F" w:rsidRPr="008A083F" w14:paraId="6D0EBE9B" w14:textId="77777777" w:rsidTr="008A083F">
        <w:trPr>
          <w:jc w:val="center"/>
        </w:trPr>
        <w:tc>
          <w:tcPr>
            <w:tcW w:w="3577" w:type="dxa"/>
            <w:gridSpan w:val="2"/>
            <w:tcBorders>
              <w:top w:val="single" w:sz="4" w:space="0" w:color="auto"/>
              <w:left w:val="single" w:sz="4" w:space="0" w:color="auto"/>
              <w:bottom w:val="single" w:sz="4" w:space="0" w:color="auto"/>
              <w:right w:val="single" w:sz="4" w:space="0" w:color="auto"/>
            </w:tcBorders>
            <w:vAlign w:val="center"/>
            <w:hideMark/>
          </w:tcPr>
          <w:p w14:paraId="34807800" w14:textId="4D001D19" w:rsidR="008A083F" w:rsidRPr="008A083F" w:rsidRDefault="00C95389" w:rsidP="008F62DC">
            <w:pPr>
              <w:pStyle w:val="TAL"/>
              <w:rPr>
                <w:lang w:eastAsia="zh-CN"/>
              </w:rPr>
            </w:pPr>
            <w:r>
              <w:rPr>
                <w:lang w:eastAsia="zh-CN"/>
              </w:rPr>
              <w:t>Outdoor to indoor loss</w:t>
            </w:r>
          </w:p>
        </w:tc>
        <w:tc>
          <w:tcPr>
            <w:tcW w:w="5354" w:type="dxa"/>
            <w:tcBorders>
              <w:top w:val="single" w:sz="4" w:space="0" w:color="auto"/>
              <w:left w:val="single" w:sz="4" w:space="0" w:color="auto"/>
              <w:bottom w:val="single" w:sz="4" w:space="0" w:color="auto"/>
              <w:right w:val="single" w:sz="4" w:space="0" w:color="auto"/>
            </w:tcBorders>
            <w:vAlign w:val="center"/>
            <w:hideMark/>
          </w:tcPr>
          <w:p w14:paraId="3F885AC3" w14:textId="31464947" w:rsidR="008A083F" w:rsidRPr="008A083F" w:rsidRDefault="008A083F" w:rsidP="008F62DC">
            <w:pPr>
              <w:pStyle w:val="TAL"/>
              <w:rPr>
                <w:lang w:eastAsia="zh-CN"/>
              </w:rPr>
            </w:pPr>
            <w:r w:rsidRPr="008A083F">
              <w:rPr>
                <w:lang w:eastAsia="zh-CN"/>
              </w:rPr>
              <w:t xml:space="preserve">Based on distributions derived from adapted COST 231 NLOS model. See </w:t>
            </w:r>
            <w:r w:rsidR="00357668" w:rsidRPr="00357668">
              <w:rPr>
                <w:lang w:eastAsia="zh-CN"/>
              </w:rPr>
              <w:fldChar w:fldCharType="begin"/>
            </w:r>
            <w:r w:rsidR="00357668" w:rsidRPr="00357668">
              <w:rPr>
                <w:lang w:eastAsia="zh-CN"/>
              </w:rPr>
              <w:instrText xml:space="preserve"> REF _Ref474687130 \h  \* MERGEFORMAT </w:instrText>
            </w:r>
            <w:r w:rsidR="00357668" w:rsidRPr="00357668">
              <w:rPr>
                <w:lang w:eastAsia="zh-CN"/>
              </w:rPr>
            </w:r>
            <w:r w:rsidR="00357668" w:rsidRPr="00357668">
              <w:rPr>
                <w:lang w:eastAsia="zh-CN"/>
              </w:rPr>
              <w:fldChar w:fldCharType="separate"/>
            </w:r>
            <w:r w:rsidR="00140E5C" w:rsidRPr="00465AC4">
              <w:rPr>
                <w:lang w:eastAsia="zh-CN"/>
              </w:rPr>
              <w:t>Table 4</w:t>
            </w:r>
            <w:r w:rsidR="00357668" w:rsidRPr="00357668">
              <w:rPr>
                <w:lang w:eastAsia="zh-CN"/>
              </w:rPr>
              <w:fldChar w:fldCharType="end"/>
            </w:r>
            <w:r w:rsidR="00C95389">
              <w:rPr>
                <w:lang w:eastAsia="zh-CN"/>
              </w:rPr>
              <w:t>.</w:t>
            </w:r>
          </w:p>
        </w:tc>
      </w:tr>
      <w:tr w:rsidR="008A083F" w:rsidRPr="008A083F" w14:paraId="2CA727C2" w14:textId="77777777" w:rsidTr="008A083F">
        <w:trPr>
          <w:jc w:val="center"/>
        </w:trPr>
        <w:tc>
          <w:tcPr>
            <w:tcW w:w="3577" w:type="dxa"/>
            <w:gridSpan w:val="2"/>
            <w:tcBorders>
              <w:top w:val="single" w:sz="4" w:space="0" w:color="auto"/>
              <w:left w:val="single" w:sz="4" w:space="0" w:color="auto"/>
              <w:bottom w:val="single" w:sz="4" w:space="0" w:color="auto"/>
              <w:right w:val="single" w:sz="4" w:space="0" w:color="auto"/>
            </w:tcBorders>
            <w:vAlign w:val="center"/>
            <w:hideMark/>
          </w:tcPr>
          <w:p w14:paraId="1D2BEE6D" w14:textId="09920CF0" w:rsidR="008A083F" w:rsidRPr="008A083F" w:rsidRDefault="00C95389" w:rsidP="008F62DC">
            <w:pPr>
              <w:pStyle w:val="TAL"/>
              <w:rPr>
                <w:lang w:eastAsia="zh-CN"/>
              </w:rPr>
            </w:pPr>
            <w:r>
              <w:rPr>
                <w:lang w:eastAsia="zh-CN"/>
              </w:rPr>
              <w:t>O2I i</w:t>
            </w:r>
            <w:r w:rsidR="008A083F" w:rsidRPr="008A083F">
              <w:rPr>
                <w:lang w:eastAsia="zh-CN"/>
              </w:rPr>
              <w:t>nter-site correlation coefficient</w:t>
            </w:r>
          </w:p>
        </w:tc>
        <w:tc>
          <w:tcPr>
            <w:tcW w:w="5354" w:type="dxa"/>
            <w:tcBorders>
              <w:top w:val="single" w:sz="4" w:space="0" w:color="auto"/>
              <w:left w:val="single" w:sz="4" w:space="0" w:color="auto"/>
              <w:bottom w:val="single" w:sz="4" w:space="0" w:color="auto"/>
              <w:right w:val="single" w:sz="4" w:space="0" w:color="auto"/>
            </w:tcBorders>
            <w:vAlign w:val="center"/>
            <w:hideMark/>
          </w:tcPr>
          <w:p w14:paraId="39668272" w14:textId="66215D5A" w:rsidR="008A083F" w:rsidRPr="008A083F" w:rsidRDefault="008A083F" w:rsidP="008F62DC">
            <w:pPr>
              <w:pStyle w:val="TAL"/>
              <w:rPr>
                <w:lang w:eastAsia="zh-CN"/>
              </w:rPr>
            </w:pPr>
            <w:r w:rsidRPr="008A083F">
              <w:rPr>
                <w:szCs w:val="24"/>
                <w:lang w:eastAsia="ko-KR"/>
              </w:rPr>
              <w:t xml:space="preserve">0.5 </w:t>
            </w:r>
          </w:p>
        </w:tc>
      </w:tr>
    </w:tbl>
    <w:p w14:paraId="23ACF6E0" w14:textId="77777777" w:rsidR="008A083F" w:rsidRPr="008F2BF8" w:rsidRDefault="008A083F" w:rsidP="008A083F">
      <w:pPr>
        <w:rPr>
          <w:lang w:val="en-US"/>
        </w:rPr>
      </w:pPr>
    </w:p>
    <w:p w14:paraId="1B2CA8F7" w14:textId="418C39A8" w:rsidR="00BA4134" w:rsidRPr="00FD465C" w:rsidRDefault="00BA4134" w:rsidP="00BA4134">
      <w:pPr>
        <w:pStyle w:val="Caption"/>
        <w:rPr>
          <w:rFonts w:ascii="Arial" w:hAnsi="Arial" w:cs="Arial"/>
          <w:sz w:val="20"/>
        </w:rPr>
      </w:pPr>
      <w:bookmarkStart w:id="7" w:name="_Ref474687130"/>
      <w:r w:rsidRPr="00FD465C">
        <w:rPr>
          <w:rFonts w:ascii="Arial" w:hAnsi="Arial" w:cs="Arial"/>
          <w:sz w:val="20"/>
        </w:rPr>
        <w:t xml:space="preserve">Table </w:t>
      </w:r>
      <w:r w:rsidRPr="00FD465C">
        <w:rPr>
          <w:rFonts w:ascii="Arial" w:hAnsi="Arial" w:cs="Arial"/>
          <w:sz w:val="20"/>
        </w:rPr>
        <w:fldChar w:fldCharType="begin"/>
      </w:r>
      <w:r w:rsidRPr="00FD465C">
        <w:rPr>
          <w:rFonts w:ascii="Arial" w:hAnsi="Arial" w:cs="Arial"/>
          <w:sz w:val="20"/>
        </w:rPr>
        <w:instrText xml:space="preserve"> SEQ Table \* ARABIC </w:instrText>
      </w:r>
      <w:r w:rsidRPr="00FD465C">
        <w:rPr>
          <w:rFonts w:ascii="Arial" w:hAnsi="Arial" w:cs="Arial"/>
          <w:sz w:val="20"/>
        </w:rPr>
        <w:fldChar w:fldCharType="separate"/>
      </w:r>
      <w:r w:rsidR="00140E5C">
        <w:rPr>
          <w:rFonts w:ascii="Arial" w:hAnsi="Arial" w:cs="Arial"/>
          <w:noProof/>
          <w:sz w:val="20"/>
        </w:rPr>
        <w:t>4</w:t>
      </w:r>
      <w:r w:rsidRPr="00FD465C">
        <w:rPr>
          <w:rFonts w:ascii="Arial" w:hAnsi="Arial" w:cs="Arial"/>
          <w:sz w:val="20"/>
        </w:rPr>
        <w:fldChar w:fldCharType="end"/>
      </w:r>
      <w:bookmarkEnd w:id="7"/>
      <w:r w:rsidR="005512D5" w:rsidRPr="00FD465C">
        <w:rPr>
          <w:rFonts w:ascii="Arial" w:hAnsi="Arial" w:cs="Arial"/>
          <w:sz w:val="20"/>
        </w:rPr>
        <w:t xml:space="preserve"> Outdoor to indoor loss model </w:t>
      </w:r>
      <w:r w:rsidR="005512D5" w:rsidRPr="00FD465C">
        <w:rPr>
          <w:rFonts w:ascii="Arial" w:hAnsi="Arial" w:cs="Arial"/>
          <w:sz w:val="20"/>
        </w:rPr>
        <w:fldChar w:fldCharType="begin"/>
      </w:r>
      <w:r w:rsidR="005512D5" w:rsidRPr="00FD465C">
        <w:rPr>
          <w:rFonts w:ascii="Arial" w:hAnsi="Arial" w:cs="Arial"/>
          <w:sz w:val="20"/>
        </w:rPr>
        <w:instrText xml:space="preserve"> REF _Ref463001619 \r \h </w:instrText>
      </w:r>
      <w:r w:rsidR="00FD465C">
        <w:rPr>
          <w:rFonts w:ascii="Arial" w:hAnsi="Arial" w:cs="Arial"/>
          <w:sz w:val="20"/>
        </w:rPr>
        <w:instrText xml:space="preserve"> \* MERGEFORMAT </w:instrText>
      </w:r>
      <w:r w:rsidR="005512D5" w:rsidRPr="00FD465C">
        <w:rPr>
          <w:rFonts w:ascii="Arial" w:hAnsi="Arial" w:cs="Arial"/>
          <w:sz w:val="20"/>
        </w:rPr>
      </w:r>
      <w:r w:rsidR="005512D5" w:rsidRPr="00FD465C">
        <w:rPr>
          <w:rFonts w:ascii="Arial" w:hAnsi="Arial" w:cs="Arial"/>
          <w:sz w:val="20"/>
        </w:rPr>
        <w:fldChar w:fldCharType="separate"/>
      </w:r>
      <w:r w:rsidR="00140E5C">
        <w:rPr>
          <w:rFonts w:ascii="Arial" w:hAnsi="Arial" w:cs="Arial"/>
          <w:sz w:val="20"/>
        </w:rPr>
        <w:t>[3]</w:t>
      </w:r>
      <w:r w:rsidR="005512D5" w:rsidRPr="00FD465C">
        <w:rPr>
          <w:rFonts w:ascii="Arial" w:hAnsi="Arial" w:cs="Arial"/>
          <w:sz w:val="20"/>
        </w:rPr>
        <w:fldChar w:fldCharType="end"/>
      </w:r>
      <w:r w:rsidR="005512D5" w:rsidRPr="00FD465C">
        <w:rPr>
          <w:rFonts w:ascii="Arial" w:hAnsi="Arial" w:cs="Arial"/>
          <w:sz w:val="20"/>
        </w:rPr>
        <w:t>.</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5245"/>
        <w:gridCol w:w="1275"/>
        <w:gridCol w:w="1276"/>
        <w:gridCol w:w="1276"/>
      </w:tblGrid>
      <w:tr w:rsidR="008F2BF8" w14:paraId="09A740BD" w14:textId="77777777" w:rsidTr="008F2BF8">
        <w:trPr>
          <w:jc w:val="center"/>
        </w:trPr>
        <w:tc>
          <w:tcPr>
            <w:tcW w:w="9072" w:type="dxa"/>
            <w:gridSpan w:val="4"/>
            <w:tcBorders>
              <w:top w:val="single" w:sz="4" w:space="0" w:color="000000"/>
              <w:left w:val="single" w:sz="4" w:space="0" w:color="000000"/>
              <w:bottom w:val="single" w:sz="4" w:space="0" w:color="000000"/>
              <w:right w:val="single" w:sz="4" w:space="0" w:color="000000"/>
            </w:tcBorders>
            <w:hideMark/>
          </w:tcPr>
          <w:p w14:paraId="700EFA5A" w14:textId="77777777" w:rsidR="008F2BF8" w:rsidRDefault="008F2BF8">
            <w:pPr>
              <w:pStyle w:val="TAH"/>
            </w:pPr>
            <w:r>
              <w:t>Distribution of external wall penetration loss</w:t>
            </w:r>
          </w:p>
        </w:tc>
      </w:tr>
      <w:tr w:rsidR="008F2BF8" w14:paraId="27D4054A" w14:textId="77777777" w:rsidTr="008F2BF8">
        <w:trPr>
          <w:jc w:val="center"/>
        </w:trPr>
        <w:tc>
          <w:tcPr>
            <w:tcW w:w="5245" w:type="dxa"/>
            <w:tcBorders>
              <w:top w:val="single" w:sz="4" w:space="0" w:color="000000"/>
              <w:left w:val="single" w:sz="4" w:space="0" w:color="000000"/>
              <w:bottom w:val="single" w:sz="4" w:space="0" w:color="000000"/>
              <w:right w:val="single" w:sz="4" w:space="0" w:color="000000"/>
            </w:tcBorders>
            <w:hideMark/>
          </w:tcPr>
          <w:p w14:paraId="706B57D1" w14:textId="77777777" w:rsidR="008F2BF8" w:rsidRDefault="008F2BF8">
            <w:pPr>
              <w:pStyle w:val="TAL"/>
            </w:pPr>
            <w:r>
              <w:t>External wall penetration loss</w:t>
            </w:r>
          </w:p>
        </w:tc>
        <w:tc>
          <w:tcPr>
            <w:tcW w:w="1275" w:type="dxa"/>
            <w:tcBorders>
              <w:top w:val="single" w:sz="4" w:space="0" w:color="000000"/>
              <w:left w:val="single" w:sz="4" w:space="0" w:color="000000"/>
              <w:bottom w:val="single" w:sz="4" w:space="0" w:color="000000"/>
              <w:right w:val="single" w:sz="4" w:space="0" w:color="000000"/>
            </w:tcBorders>
            <w:hideMark/>
          </w:tcPr>
          <w:p w14:paraId="6114DFDD" w14:textId="77777777" w:rsidR="008F2BF8" w:rsidRDefault="008F2BF8">
            <w:pPr>
              <w:pStyle w:val="TAL"/>
            </w:pPr>
            <w:r>
              <w:t>4-11 dB</w:t>
            </w:r>
          </w:p>
        </w:tc>
        <w:tc>
          <w:tcPr>
            <w:tcW w:w="1276" w:type="dxa"/>
            <w:tcBorders>
              <w:top w:val="single" w:sz="4" w:space="0" w:color="000000"/>
              <w:left w:val="single" w:sz="4" w:space="0" w:color="000000"/>
              <w:bottom w:val="single" w:sz="4" w:space="0" w:color="000000"/>
              <w:right w:val="single" w:sz="4" w:space="0" w:color="000000"/>
            </w:tcBorders>
            <w:hideMark/>
          </w:tcPr>
          <w:p w14:paraId="78DD13B3" w14:textId="77777777" w:rsidR="008F2BF8" w:rsidRDefault="008F2BF8">
            <w:pPr>
              <w:pStyle w:val="TAL"/>
            </w:pPr>
            <w:r>
              <w:t>11-19 dB</w:t>
            </w:r>
          </w:p>
        </w:tc>
        <w:tc>
          <w:tcPr>
            <w:tcW w:w="1276" w:type="dxa"/>
            <w:tcBorders>
              <w:top w:val="single" w:sz="4" w:space="0" w:color="000000"/>
              <w:left w:val="single" w:sz="4" w:space="0" w:color="000000"/>
              <w:bottom w:val="single" w:sz="4" w:space="0" w:color="000000"/>
              <w:right w:val="single" w:sz="4" w:space="0" w:color="000000"/>
            </w:tcBorders>
            <w:hideMark/>
          </w:tcPr>
          <w:p w14:paraId="5449A1E1" w14:textId="77777777" w:rsidR="008F2BF8" w:rsidRDefault="008F2BF8">
            <w:pPr>
              <w:pStyle w:val="TAL"/>
            </w:pPr>
            <w:r>
              <w:t>19-23 dB</w:t>
            </w:r>
          </w:p>
        </w:tc>
      </w:tr>
      <w:tr w:rsidR="008F2BF8" w14:paraId="6271BB9F" w14:textId="77777777" w:rsidTr="008F2BF8">
        <w:trPr>
          <w:jc w:val="center"/>
        </w:trPr>
        <w:tc>
          <w:tcPr>
            <w:tcW w:w="5245" w:type="dxa"/>
            <w:tcBorders>
              <w:top w:val="single" w:sz="4" w:space="0" w:color="000000"/>
              <w:left w:val="single" w:sz="4" w:space="0" w:color="000000"/>
              <w:bottom w:val="single" w:sz="4" w:space="0" w:color="000000"/>
              <w:right w:val="single" w:sz="4" w:space="0" w:color="000000"/>
            </w:tcBorders>
            <w:hideMark/>
          </w:tcPr>
          <w:p w14:paraId="0BDBA57A" w14:textId="77777777" w:rsidR="008F2BF8" w:rsidRDefault="008F2BF8">
            <w:pPr>
              <w:pStyle w:val="TAL"/>
            </w:pPr>
            <w:r>
              <w:t>Percentage of devices uniformly distributed in range</w:t>
            </w:r>
          </w:p>
        </w:tc>
        <w:tc>
          <w:tcPr>
            <w:tcW w:w="1275" w:type="dxa"/>
            <w:tcBorders>
              <w:top w:val="single" w:sz="4" w:space="0" w:color="000000"/>
              <w:left w:val="single" w:sz="4" w:space="0" w:color="000000"/>
              <w:bottom w:val="single" w:sz="4" w:space="0" w:color="000000"/>
              <w:right w:val="single" w:sz="4" w:space="0" w:color="000000"/>
            </w:tcBorders>
            <w:hideMark/>
          </w:tcPr>
          <w:p w14:paraId="0467F8A4" w14:textId="77777777" w:rsidR="008F2BF8" w:rsidRDefault="008F2BF8">
            <w:pPr>
              <w:pStyle w:val="TAL"/>
            </w:pPr>
            <w:r>
              <w:t>25%</w:t>
            </w:r>
          </w:p>
        </w:tc>
        <w:tc>
          <w:tcPr>
            <w:tcW w:w="1276" w:type="dxa"/>
            <w:tcBorders>
              <w:top w:val="single" w:sz="4" w:space="0" w:color="000000"/>
              <w:left w:val="single" w:sz="4" w:space="0" w:color="000000"/>
              <w:bottom w:val="single" w:sz="4" w:space="0" w:color="000000"/>
              <w:right w:val="single" w:sz="4" w:space="0" w:color="000000"/>
            </w:tcBorders>
            <w:hideMark/>
          </w:tcPr>
          <w:p w14:paraId="23BA4B5A" w14:textId="77777777" w:rsidR="008F2BF8" w:rsidRDefault="008F2BF8">
            <w:pPr>
              <w:pStyle w:val="TAL"/>
            </w:pPr>
            <w:r>
              <w:t>50%</w:t>
            </w:r>
          </w:p>
        </w:tc>
        <w:tc>
          <w:tcPr>
            <w:tcW w:w="1276" w:type="dxa"/>
            <w:tcBorders>
              <w:top w:val="single" w:sz="4" w:space="0" w:color="000000"/>
              <w:left w:val="single" w:sz="4" w:space="0" w:color="000000"/>
              <w:bottom w:val="single" w:sz="4" w:space="0" w:color="000000"/>
              <w:right w:val="single" w:sz="4" w:space="0" w:color="000000"/>
            </w:tcBorders>
            <w:hideMark/>
          </w:tcPr>
          <w:p w14:paraId="3CE96FC5" w14:textId="77777777" w:rsidR="008F2BF8" w:rsidRDefault="008F2BF8">
            <w:pPr>
              <w:pStyle w:val="TAL"/>
            </w:pPr>
            <w:r>
              <w:t>25%</w:t>
            </w:r>
          </w:p>
        </w:tc>
      </w:tr>
      <w:tr w:rsidR="008F2BF8" w14:paraId="313D4915" w14:textId="77777777" w:rsidTr="008F2BF8">
        <w:trPr>
          <w:jc w:val="center"/>
        </w:trPr>
        <w:tc>
          <w:tcPr>
            <w:tcW w:w="9072" w:type="dxa"/>
            <w:gridSpan w:val="4"/>
            <w:tcBorders>
              <w:top w:val="single" w:sz="4" w:space="0" w:color="000000"/>
              <w:left w:val="single" w:sz="4" w:space="0" w:color="000000"/>
              <w:bottom w:val="single" w:sz="4" w:space="0" w:color="000000"/>
              <w:right w:val="single" w:sz="4" w:space="0" w:color="000000"/>
            </w:tcBorders>
            <w:hideMark/>
          </w:tcPr>
          <w:p w14:paraId="4037A18C" w14:textId="223F130B" w:rsidR="008F2BF8" w:rsidRDefault="008F2BF8">
            <w:pPr>
              <w:pStyle w:val="TAL"/>
            </w:pPr>
            <w:r>
              <w:t>Assumptions related to additional penetration loss due to</w:t>
            </w:r>
            <w:r w:rsidR="00EF362D">
              <w:t xml:space="preserve"> p</w:t>
            </w:r>
            <w:r>
              <w:t xml:space="preserve"> internal walls</w:t>
            </w:r>
          </w:p>
        </w:tc>
      </w:tr>
      <w:tr w:rsidR="008F2BF8" w14:paraId="7374A4C6" w14:textId="77777777" w:rsidTr="008F2BF8">
        <w:trPr>
          <w:jc w:val="center"/>
        </w:trPr>
        <w:tc>
          <w:tcPr>
            <w:tcW w:w="5245" w:type="dxa"/>
            <w:tcBorders>
              <w:top w:val="single" w:sz="4" w:space="0" w:color="000000"/>
              <w:left w:val="single" w:sz="4" w:space="0" w:color="000000"/>
              <w:bottom w:val="single" w:sz="4" w:space="0" w:color="000000"/>
              <w:right w:val="single" w:sz="4" w:space="0" w:color="000000"/>
            </w:tcBorders>
            <w:hideMark/>
          </w:tcPr>
          <w:p w14:paraId="17298093" w14:textId="77777777" w:rsidR="008F2BF8" w:rsidRDefault="008F2BF8">
            <w:pPr>
              <w:pStyle w:val="TAL"/>
            </w:pPr>
            <w:r>
              <w:t>Percentage of devices mapped to case p=3 ( with remaining devices equally distributed among cases p=0,1,2)</w:t>
            </w:r>
          </w:p>
        </w:tc>
        <w:tc>
          <w:tcPr>
            <w:tcW w:w="3827" w:type="dxa"/>
            <w:gridSpan w:val="3"/>
            <w:tcBorders>
              <w:top w:val="single" w:sz="4" w:space="0" w:color="000000"/>
              <w:left w:val="single" w:sz="4" w:space="0" w:color="000000"/>
              <w:bottom w:val="single" w:sz="4" w:space="0" w:color="000000"/>
              <w:right w:val="single" w:sz="4" w:space="0" w:color="000000"/>
            </w:tcBorders>
            <w:hideMark/>
          </w:tcPr>
          <w:p w14:paraId="2E3647FE" w14:textId="77777777" w:rsidR="008F2BF8" w:rsidRDefault="008F2BF8">
            <w:pPr>
              <w:pStyle w:val="TAL"/>
            </w:pPr>
            <w:r>
              <w:t>20%</w:t>
            </w:r>
          </w:p>
        </w:tc>
      </w:tr>
      <w:tr w:rsidR="008F2BF8" w14:paraId="18DE20F7" w14:textId="77777777" w:rsidTr="008F2BF8">
        <w:trPr>
          <w:jc w:val="center"/>
        </w:trPr>
        <w:tc>
          <w:tcPr>
            <w:tcW w:w="5245" w:type="dxa"/>
            <w:tcBorders>
              <w:top w:val="single" w:sz="4" w:space="0" w:color="000000"/>
              <w:left w:val="single" w:sz="4" w:space="0" w:color="000000"/>
              <w:bottom w:val="single" w:sz="4" w:space="0" w:color="000000"/>
              <w:right w:val="single" w:sz="4" w:space="0" w:color="000000"/>
            </w:tcBorders>
            <w:hideMark/>
          </w:tcPr>
          <w:p w14:paraId="5CE24766" w14:textId="77777777" w:rsidR="008F2BF8" w:rsidRDefault="008F2BF8">
            <w:pPr>
              <w:pStyle w:val="TAL"/>
            </w:pPr>
            <w:r>
              <w:t xml:space="preserve">Assumption for dependency of penetration loss of internal walls of a building. </w:t>
            </w:r>
          </w:p>
        </w:tc>
        <w:tc>
          <w:tcPr>
            <w:tcW w:w="3827" w:type="dxa"/>
            <w:gridSpan w:val="3"/>
            <w:tcBorders>
              <w:top w:val="single" w:sz="4" w:space="0" w:color="000000"/>
              <w:left w:val="single" w:sz="4" w:space="0" w:color="000000"/>
              <w:bottom w:val="single" w:sz="4" w:space="0" w:color="000000"/>
              <w:right w:val="single" w:sz="4" w:space="0" w:color="000000"/>
            </w:tcBorders>
            <w:hideMark/>
          </w:tcPr>
          <w:p w14:paraId="6FD9FD7A" w14:textId="77777777" w:rsidR="008F2BF8" w:rsidRDefault="008F2BF8">
            <w:pPr>
              <w:pStyle w:val="TAL"/>
            </w:pPr>
            <w:r>
              <w:t>Dependent i.e. one value of Wi is randomly generated and applies to all internal walls.</w:t>
            </w:r>
          </w:p>
        </w:tc>
      </w:tr>
    </w:tbl>
    <w:p w14:paraId="1CA37016" w14:textId="077139AE" w:rsidR="008F2BF8" w:rsidRDefault="008F2BF8" w:rsidP="008F2BF8">
      <w:pPr>
        <w:rPr>
          <w:rFonts w:eastAsia="Times New Roman"/>
          <w:sz w:val="20"/>
        </w:rPr>
      </w:pPr>
    </w:p>
    <w:p w14:paraId="1DBE69C8" w14:textId="76450114" w:rsidR="00362494" w:rsidRPr="00362494" w:rsidRDefault="00362494" w:rsidP="008F2BF8">
      <w:pPr>
        <w:rPr>
          <w:rFonts w:ascii="Arial" w:hAnsi="Arial" w:cs="Arial"/>
          <w:sz w:val="20"/>
        </w:rPr>
      </w:pPr>
      <w:r w:rsidRPr="00362494">
        <w:rPr>
          <w:rFonts w:ascii="Arial" w:hAnsi="Arial" w:cs="Arial"/>
          <w:sz w:val="20"/>
        </w:rPr>
        <w:fldChar w:fldCharType="begin"/>
      </w:r>
      <w:r w:rsidRPr="00362494">
        <w:rPr>
          <w:rFonts w:ascii="Arial" w:hAnsi="Arial" w:cs="Arial"/>
          <w:sz w:val="20"/>
        </w:rPr>
        <w:instrText xml:space="preserve"> REF _Ref474687716 \h </w:instrText>
      </w:r>
      <w:r>
        <w:rPr>
          <w:rFonts w:ascii="Arial" w:hAnsi="Arial" w:cs="Arial"/>
          <w:sz w:val="20"/>
        </w:rPr>
        <w:instrText xml:space="preserve"> \* MERGEFORMAT </w:instrText>
      </w:r>
      <w:r w:rsidRPr="00362494">
        <w:rPr>
          <w:rFonts w:ascii="Arial" w:hAnsi="Arial" w:cs="Arial"/>
          <w:sz w:val="20"/>
        </w:rPr>
      </w:r>
      <w:r w:rsidRPr="00362494">
        <w:rPr>
          <w:rFonts w:ascii="Arial" w:hAnsi="Arial" w:cs="Arial"/>
          <w:sz w:val="20"/>
        </w:rPr>
        <w:fldChar w:fldCharType="separate"/>
      </w:r>
      <w:r w:rsidR="00140E5C" w:rsidRPr="00FD465C">
        <w:rPr>
          <w:rFonts w:ascii="Arial" w:hAnsi="Arial" w:cs="Arial"/>
          <w:sz w:val="20"/>
        </w:rPr>
        <w:t xml:space="preserve">Figure </w:t>
      </w:r>
      <w:r w:rsidR="00140E5C">
        <w:rPr>
          <w:rFonts w:ascii="Arial" w:hAnsi="Arial" w:cs="Arial"/>
          <w:sz w:val="20"/>
        </w:rPr>
        <w:t>2</w:t>
      </w:r>
      <w:r w:rsidRPr="00362494">
        <w:rPr>
          <w:rFonts w:ascii="Arial" w:hAnsi="Arial" w:cs="Arial"/>
          <w:sz w:val="20"/>
        </w:rPr>
        <w:fldChar w:fldCharType="end"/>
      </w:r>
      <w:r w:rsidRPr="00362494">
        <w:rPr>
          <w:rFonts w:ascii="Arial" w:hAnsi="Arial" w:cs="Arial"/>
          <w:sz w:val="20"/>
        </w:rPr>
        <w:t xml:space="preserve"> depicts the</w:t>
      </w:r>
      <w:r>
        <w:rPr>
          <w:rFonts w:ascii="Arial" w:hAnsi="Arial" w:cs="Arial"/>
          <w:sz w:val="20"/>
        </w:rPr>
        <w:t xml:space="preserve"> channel model including the large scale shadow fading, outdoor to indoor loss as well as antenna gains.</w:t>
      </w:r>
      <w:r w:rsidRPr="00362494">
        <w:rPr>
          <w:rFonts w:ascii="Arial" w:hAnsi="Arial" w:cs="Arial"/>
          <w:sz w:val="20"/>
        </w:rPr>
        <w:t xml:space="preserve"> </w:t>
      </w:r>
    </w:p>
    <w:p w14:paraId="71FCB784" w14:textId="2B4D9E31" w:rsidR="00362494" w:rsidRDefault="00EF362D" w:rsidP="00362494">
      <w:pPr>
        <w:keepNext/>
        <w:jc w:val="center"/>
      </w:pPr>
      <w:r>
        <w:rPr>
          <w:noProof/>
          <w:lang w:val="en-US" w:eastAsia="en-US"/>
        </w:rPr>
        <w:lastRenderedPageBreak/>
        <w:drawing>
          <wp:inline distT="0" distB="0" distL="0" distR="0" wp14:anchorId="5BBA8B46" wp14:editId="778247B3">
            <wp:extent cx="5040975" cy="3602438"/>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hannel_model.png"/>
                    <pic:cNvPicPr/>
                  </pic:nvPicPr>
                  <pic:blipFill>
                    <a:blip r:embed="rId9">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1CE8B3CC" w14:textId="785CE2F9" w:rsidR="00A827A0" w:rsidRPr="00FD465C" w:rsidRDefault="00362494" w:rsidP="00362494">
      <w:pPr>
        <w:pStyle w:val="Caption"/>
        <w:rPr>
          <w:rFonts w:ascii="Arial" w:hAnsi="Arial" w:cs="Arial"/>
          <w:sz w:val="20"/>
        </w:rPr>
      </w:pPr>
      <w:bookmarkStart w:id="8" w:name="_Ref474687716"/>
      <w:r w:rsidRPr="00FD465C">
        <w:rPr>
          <w:rFonts w:ascii="Arial" w:hAnsi="Arial" w:cs="Arial"/>
          <w:sz w:val="20"/>
        </w:rPr>
        <w:t xml:space="preserve">Figure </w:t>
      </w:r>
      <w:r w:rsidRPr="00FD465C">
        <w:rPr>
          <w:rFonts w:ascii="Arial" w:hAnsi="Arial" w:cs="Arial"/>
          <w:sz w:val="20"/>
        </w:rPr>
        <w:fldChar w:fldCharType="begin"/>
      </w:r>
      <w:r w:rsidRPr="00FD465C">
        <w:rPr>
          <w:rFonts w:ascii="Arial" w:hAnsi="Arial" w:cs="Arial"/>
          <w:sz w:val="20"/>
        </w:rPr>
        <w:instrText xml:space="preserve"> SEQ Figure \* ARABIC </w:instrText>
      </w:r>
      <w:r w:rsidRPr="00FD465C">
        <w:rPr>
          <w:rFonts w:ascii="Arial" w:hAnsi="Arial" w:cs="Arial"/>
          <w:sz w:val="20"/>
        </w:rPr>
        <w:fldChar w:fldCharType="separate"/>
      </w:r>
      <w:r w:rsidR="00140E5C">
        <w:rPr>
          <w:rFonts w:ascii="Arial" w:hAnsi="Arial" w:cs="Arial"/>
          <w:noProof/>
          <w:sz w:val="20"/>
        </w:rPr>
        <w:t>2</w:t>
      </w:r>
      <w:r w:rsidRPr="00FD465C">
        <w:rPr>
          <w:rFonts w:ascii="Arial" w:hAnsi="Arial" w:cs="Arial"/>
          <w:sz w:val="20"/>
        </w:rPr>
        <w:fldChar w:fldCharType="end"/>
      </w:r>
      <w:bookmarkEnd w:id="8"/>
      <w:r w:rsidRPr="00FD465C">
        <w:rPr>
          <w:rFonts w:ascii="Arial" w:hAnsi="Arial" w:cs="Arial"/>
          <w:sz w:val="20"/>
        </w:rPr>
        <w:t xml:space="preserve"> TR 45.820 channel model</w:t>
      </w:r>
      <w:r w:rsidR="00461155">
        <w:rPr>
          <w:rFonts w:ascii="Arial" w:hAnsi="Arial" w:cs="Arial"/>
          <w:sz w:val="20"/>
        </w:rPr>
        <w:t>s</w:t>
      </w:r>
      <w:r w:rsidRPr="00FD465C">
        <w:rPr>
          <w:rFonts w:ascii="Arial" w:hAnsi="Arial" w:cs="Arial"/>
          <w:sz w:val="20"/>
        </w:rPr>
        <w:t>.</w:t>
      </w:r>
    </w:p>
    <w:p w14:paraId="2BFB3F34" w14:textId="0FEC1442" w:rsidR="00467124" w:rsidRPr="008A083F" w:rsidRDefault="00C059DC" w:rsidP="00467124">
      <w:pPr>
        <w:rPr>
          <w:rFonts w:ascii="Arial" w:hAnsi="Arial" w:cs="Arial"/>
          <w:sz w:val="20"/>
        </w:rPr>
      </w:pPr>
      <w:r>
        <w:rPr>
          <w:rFonts w:ascii="Arial" w:hAnsi="Arial" w:cs="Arial"/>
          <w:sz w:val="20"/>
        </w:rPr>
        <w:t>Just as the traffic model presented in the previous section we are believe that also the in Release 13 agreed channel model can be reus</w:t>
      </w:r>
      <w:r w:rsidR="00EF362D">
        <w:rPr>
          <w:rFonts w:ascii="Arial" w:hAnsi="Arial" w:cs="Arial"/>
          <w:sz w:val="20"/>
        </w:rPr>
        <w:t xml:space="preserve">ed in the mMTC self-evaluations, especially since it was derived to model a system with the same coupling loss requirement as is required for mMTC. </w:t>
      </w:r>
      <w:r w:rsidR="00467124">
        <w:rPr>
          <w:rFonts w:ascii="Arial" w:hAnsi="Arial" w:cs="Arial"/>
          <w:sz w:val="20"/>
        </w:rPr>
        <w:t xml:space="preserve"> </w:t>
      </w:r>
    </w:p>
    <w:p w14:paraId="74DF1F31" w14:textId="6309EE66" w:rsidR="00A827A0" w:rsidRDefault="00C059DC" w:rsidP="0072579C">
      <w:pPr>
        <w:rPr>
          <w:rFonts w:ascii="Arial" w:hAnsi="Arial" w:cs="Arial"/>
          <w:b/>
          <w:sz w:val="20"/>
        </w:rPr>
      </w:pPr>
      <w:r w:rsidRPr="00EC72C3">
        <w:rPr>
          <w:rFonts w:ascii="Arial" w:hAnsi="Arial" w:cs="Arial"/>
          <w:b/>
          <w:sz w:val="20"/>
        </w:rPr>
        <w:t>Proposal</w:t>
      </w:r>
      <w:r w:rsidR="009D28F7">
        <w:rPr>
          <w:rFonts w:ascii="Arial" w:hAnsi="Arial" w:cs="Arial"/>
          <w:b/>
          <w:sz w:val="20"/>
        </w:rPr>
        <w:t xml:space="preserve"> 2</w:t>
      </w:r>
      <w:r w:rsidR="00467124" w:rsidRPr="00EC72C3">
        <w:rPr>
          <w:rFonts w:ascii="Arial" w:hAnsi="Arial" w:cs="Arial"/>
          <w:b/>
          <w:sz w:val="20"/>
        </w:rPr>
        <w:t>:</w:t>
      </w:r>
      <w:r w:rsidR="00467124">
        <w:rPr>
          <w:rFonts w:ascii="Arial" w:hAnsi="Arial" w:cs="Arial"/>
          <w:sz w:val="20"/>
        </w:rPr>
        <w:t xml:space="preserve"> </w:t>
      </w:r>
      <w:r w:rsidR="00467124">
        <w:rPr>
          <w:rFonts w:ascii="Arial" w:hAnsi="Arial" w:cs="Arial"/>
          <w:b/>
          <w:sz w:val="20"/>
        </w:rPr>
        <w:t>Reuse the TR 45.820</w:t>
      </w:r>
      <w:r w:rsidR="00461155">
        <w:rPr>
          <w:rFonts w:ascii="Arial" w:hAnsi="Arial" w:cs="Arial"/>
          <w:b/>
          <w:sz w:val="20"/>
        </w:rPr>
        <w:t xml:space="preserve"> </w:t>
      </w:r>
      <w:r w:rsidR="00461155">
        <w:rPr>
          <w:rFonts w:ascii="Arial" w:hAnsi="Arial" w:cs="Arial"/>
          <w:b/>
          <w:sz w:val="20"/>
        </w:rPr>
        <w:fldChar w:fldCharType="begin"/>
      </w:r>
      <w:r w:rsidR="00461155">
        <w:rPr>
          <w:rFonts w:ascii="Arial" w:hAnsi="Arial" w:cs="Arial"/>
          <w:b/>
          <w:sz w:val="20"/>
        </w:rPr>
        <w:instrText xml:space="preserve"> REF _Ref463001619 \r \h </w:instrText>
      </w:r>
      <w:r w:rsidR="00461155">
        <w:rPr>
          <w:rFonts w:ascii="Arial" w:hAnsi="Arial" w:cs="Arial"/>
          <w:b/>
          <w:sz w:val="20"/>
        </w:rPr>
      </w:r>
      <w:r w:rsidR="00461155">
        <w:rPr>
          <w:rFonts w:ascii="Arial" w:hAnsi="Arial" w:cs="Arial"/>
          <w:b/>
          <w:sz w:val="20"/>
        </w:rPr>
        <w:fldChar w:fldCharType="separate"/>
      </w:r>
      <w:r w:rsidR="00140E5C">
        <w:rPr>
          <w:rFonts w:ascii="Arial" w:hAnsi="Arial" w:cs="Arial"/>
          <w:b/>
          <w:sz w:val="20"/>
        </w:rPr>
        <w:t>[3]</w:t>
      </w:r>
      <w:r w:rsidR="00461155">
        <w:rPr>
          <w:rFonts w:ascii="Arial" w:hAnsi="Arial" w:cs="Arial"/>
          <w:b/>
          <w:sz w:val="20"/>
        </w:rPr>
        <w:fldChar w:fldCharType="end"/>
      </w:r>
      <w:r w:rsidR="00467124">
        <w:rPr>
          <w:rFonts w:ascii="Arial" w:hAnsi="Arial" w:cs="Arial"/>
          <w:b/>
          <w:sz w:val="20"/>
        </w:rPr>
        <w:t xml:space="preserve"> channel models described above when evaluating NB-IoT and eMTC in the IMT-2020 self-evaluations.</w:t>
      </w:r>
    </w:p>
    <w:p w14:paraId="46414BFB" w14:textId="4D00523B" w:rsidR="00EC72C3" w:rsidRDefault="00EC72C3" w:rsidP="0072579C">
      <w:pPr>
        <w:rPr>
          <w:rFonts w:ascii="Arial" w:hAnsi="Arial" w:cs="Arial"/>
          <w:sz w:val="20"/>
        </w:rPr>
      </w:pPr>
      <w:r>
        <w:rPr>
          <w:rFonts w:ascii="Arial" w:hAnsi="Arial" w:cs="Arial"/>
          <w:sz w:val="20"/>
        </w:rPr>
        <w:t xml:space="preserve">It should be noticed that the constant </w:t>
      </w:r>
      <w:r w:rsidRPr="00465AC4">
        <w:rPr>
          <w:rFonts w:ascii="Arial" w:hAnsi="Arial" w:cs="Arial"/>
          <w:i/>
          <w:sz w:val="20"/>
        </w:rPr>
        <w:t xml:space="preserve">I </w:t>
      </w:r>
      <w:r>
        <w:rPr>
          <w:rFonts w:ascii="Arial" w:hAnsi="Arial" w:cs="Arial"/>
          <w:sz w:val="20"/>
        </w:rPr>
        <w:t>in the path loss model was defined for the 900 MHz band and may be recalculated to capture that it has been agreed to evaluate the system connection density at the 700 MHz band.</w:t>
      </w:r>
    </w:p>
    <w:p w14:paraId="205F7A87" w14:textId="0F209D7A" w:rsidR="00EC72C3" w:rsidRPr="00EC72C3" w:rsidRDefault="00EC72C3" w:rsidP="0072579C">
      <w:pPr>
        <w:rPr>
          <w:rFonts w:ascii="Arial" w:hAnsi="Arial" w:cs="Arial"/>
          <w:b/>
          <w:sz w:val="20"/>
        </w:rPr>
      </w:pPr>
      <w:r w:rsidRPr="00EC72C3">
        <w:rPr>
          <w:rFonts w:ascii="Arial" w:hAnsi="Arial" w:cs="Arial"/>
          <w:b/>
          <w:sz w:val="20"/>
        </w:rPr>
        <w:t>Observation</w:t>
      </w:r>
      <w:r w:rsidR="00461155">
        <w:rPr>
          <w:rFonts w:ascii="Arial" w:hAnsi="Arial" w:cs="Arial"/>
          <w:b/>
          <w:sz w:val="20"/>
        </w:rPr>
        <w:t xml:space="preserve"> </w:t>
      </w:r>
      <w:r w:rsidR="009D28F7">
        <w:rPr>
          <w:rFonts w:ascii="Arial" w:hAnsi="Arial" w:cs="Arial"/>
          <w:b/>
          <w:sz w:val="20"/>
        </w:rPr>
        <w:t>1</w:t>
      </w:r>
      <w:r w:rsidRPr="00EC72C3">
        <w:rPr>
          <w:rFonts w:ascii="Arial" w:hAnsi="Arial" w:cs="Arial"/>
          <w:b/>
          <w:sz w:val="20"/>
        </w:rPr>
        <w:t>: The path loss model may be updated to capture that the mMTC evaluations are intended to be performed in the 700 MHz band.</w:t>
      </w:r>
    </w:p>
    <w:p w14:paraId="7DCB4656" w14:textId="031AC07F" w:rsidR="00813B2A" w:rsidRDefault="00813B2A" w:rsidP="00813B2A">
      <w:pPr>
        <w:pStyle w:val="Heading3"/>
        <w:ind w:left="1134" w:hanging="1134"/>
        <w:rPr>
          <w:rFonts w:eastAsia="Times New Roman" w:cs="Times New Roman"/>
          <w:szCs w:val="20"/>
          <w:lang w:val="en-US" w:eastAsia="en-US"/>
        </w:rPr>
      </w:pPr>
      <w:r>
        <w:rPr>
          <w:rFonts w:eastAsia="Times New Roman" w:cs="Times New Roman"/>
          <w:szCs w:val="20"/>
        </w:rPr>
        <w:t>Quality of service requirements</w:t>
      </w:r>
    </w:p>
    <w:p w14:paraId="17508B0F" w14:textId="0F9E27C0" w:rsidR="00E562DF" w:rsidRDefault="00E562DF" w:rsidP="00A11D96">
      <w:pPr>
        <w:rPr>
          <w:rFonts w:ascii="Arial" w:hAnsi="Arial" w:cs="Arial"/>
          <w:sz w:val="20"/>
        </w:rPr>
      </w:pPr>
      <w:r>
        <w:rPr>
          <w:rFonts w:ascii="Arial" w:hAnsi="Arial" w:cs="Arial"/>
          <w:sz w:val="20"/>
        </w:rPr>
        <w:t>TR</w:t>
      </w:r>
      <w:r w:rsidR="00A11D96">
        <w:rPr>
          <w:rFonts w:ascii="Arial" w:hAnsi="Arial" w:cs="Arial"/>
          <w:sz w:val="20"/>
        </w:rPr>
        <w:t xml:space="preserve"> 38.913 chapter 7.17 Connection Density states that</w:t>
      </w:r>
      <w:r w:rsidR="004C5DD3">
        <w:rPr>
          <w:rFonts w:ascii="Arial" w:hAnsi="Arial" w:cs="Arial"/>
          <w:sz w:val="20"/>
        </w:rPr>
        <w:t xml:space="preserve"> </w:t>
      </w:r>
      <w:r w:rsidR="00A11D96">
        <w:rPr>
          <w:rFonts w:ascii="Arial" w:hAnsi="Arial" w:cs="Arial"/>
          <w:sz w:val="20"/>
        </w:rPr>
        <w:t>“</w:t>
      </w:r>
      <w:r w:rsidR="004C5DD3" w:rsidRPr="00D97D46">
        <w:rPr>
          <w:rFonts w:ascii="Arial" w:eastAsia="MS Mincho" w:hAnsi="Arial" w:cs="Arial"/>
          <w:bCs/>
          <w:i/>
          <w:sz w:val="20"/>
          <w:lang w:val="en-US" w:eastAsia="ja-JP"/>
        </w:rPr>
        <w:t>Connection density refers to total number of devices fulfilling a target QoS per unit area (per km</w:t>
      </w:r>
      <w:r w:rsidR="004C5DD3" w:rsidRPr="00D97D46">
        <w:rPr>
          <w:rFonts w:ascii="Arial" w:eastAsia="MS Mincho" w:hAnsi="Arial" w:cs="Arial"/>
          <w:bCs/>
          <w:i/>
          <w:sz w:val="20"/>
          <w:vertAlign w:val="superscript"/>
          <w:lang w:val="en-US" w:eastAsia="ja-JP"/>
        </w:rPr>
        <w:t>2</w:t>
      </w:r>
      <w:r w:rsidR="004C5DD3" w:rsidRPr="00D97D46">
        <w:rPr>
          <w:rFonts w:ascii="Arial" w:eastAsia="MS Mincho" w:hAnsi="Arial" w:cs="Arial"/>
          <w:bCs/>
          <w:i/>
          <w:sz w:val="20"/>
          <w:lang w:val="en-US" w:eastAsia="ja-JP"/>
        </w:rPr>
        <w:t>), where the target QoS is to ensure a system packet drop rate less than 1% under given packet arrival rate l and packet size S. Packet drop rate = (Number of packet in outage) / (number of generated packets), where a packet is in outage if this packet failed to be successfully received by destination receiver beyond packet dropping timer.</w:t>
      </w:r>
      <w:r w:rsidR="00A11D96">
        <w:rPr>
          <w:rFonts w:ascii="Arial" w:eastAsia="MS Mincho" w:hAnsi="Arial" w:cs="Arial"/>
          <w:bCs/>
          <w:i/>
          <w:sz w:val="20"/>
          <w:lang w:val="en-US" w:eastAsia="ja-JP"/>
        </w:rPr>
        <w:t>”</w:t>
      </w:r>
      <w:r w:rsidR="00A11D96">
        <w:rPr>
          <w:rFonts w:ascii="Arial" w:eastAsia="MS Mincho" w:hAnsi="Arial" w:cs="Arial"/>
          <w:bCs/>
          <w:sz w:val="20"/>
          <w:lang w:val="en-US" w:eastAsia="ja-JP"/>
        </w:rPr>
        <w:t xml:space="preserve"> and also contains the following editor’s note “</w:t>
      </w:r>
      <w:r w:rsidR="00A11D96" w:rsidRPr="00A11D96">
        <w:rPr>
          <w:rFonts w:ascii="Arial" w:eastAsia="MS Mincho" w:hAnsi="Arial" w:cs="Arial"/>
          <w:bCs/>
          <w:i/>
          <w:sz w:val="20"/>
          <w:lang w:val="en-US" w:eastAsia="ja-JP"/>
        </w:rPr>
        <w:t>The details of QoS definition is FFS”</w:t>
      </w:r>
      <w:r w:rsidR="00A11D96" w:rsidRPr="00A11D96">
        <w:rPr>
          <w:rFonts w:ascii="Arial" w:hAnsi="Arial" w:cs="Arial"/>
          <w:sz w:val="20"/>
        </w:rPr>
        <w:t>.</w:t>
      </w:r>
    </w:p>
    <w:p w14:paraId="409B63AC" w14:textId="4B5C79C5" w:rsidR="00BD2F8D" w:rsidRDefault="00A11D96" w:rsidP="00A11D96">
      <w:pPr>
        <w:rPr>
          <w:rFonts w:ascii="Arial" w:hAnsi="Arial" w:cs="Arial"/>
          <w:sz w:val="20"/>
        </w:rPr>
      </w:pPr>
      <w:r>
        <w:rPr>
          <w:rFonts w:ascii="Arial" w:hAnsi="Arial" w:cs="Arial"/>
          <w:sz w:val="20"/>
        </w:rPr>
        <w:t xml:space="preserve">Typically </w:t>
      </w:r>
      <w:r w:rsidRPr="00A11D96">
        <w:rPr>
          <w:rFonts w:ascii="Arial" w:hAnsi="Arial" w:cs="Arial"/>
          <w:i/>
          <w:sz w:val="20"/>
        </w:rPr>
        <w:t>packet drop rate</w:t>
      </w:r>
      <w:r>
        <w:rPr>
          <w:rFonts w:ascii="Arial" w:hAnsi="Arial" w:cs="Arial"/>
          <w:sz w:val="20"/>
        </w:rPr>
        <w:t xml:space="preserve"> is modelled on link level, while on system level it is more appropriate to consider outage in terms of </w:t>
      </w:r>
      <w:r w:rsidR="003A229F">
        <w:rPr>
          <w:rFonts w:ascii="Arial" w:hAnsi="Arial" w:cs="Arial"/>
          <w:sz w:val="20"/>
        </w:rPr>
        <w:t xml:space="preserve">percentage </w:t>
      </w:r>
      <w:r>
        <w:rPr>
          <w:rFonts w:ascii="Arial" w:hAnsi="Arial" w:cs="Arial"/>
          <w:sz w:val="20"/>
        </w:rPr>
        <w:t>non-served users. However, considering that it is expected that mMTC corresponds to small and infrequent data delivery it is our understanding that the packet drop rate requirement actually corresponds to an outage requirement of 1%. This implies that the connection density is to be eval</w:t>
      </w:r>
      <w:r w:rsidR="00BD2F8D">
        <w:rPr>
          <w:rFonts w:ascii="Arial" w:hAnsi="Arial" w:cs="Arial"/>
          <w:sz w:val="20"/>
        </w:rPr>
        <w:t xml:space="preserve">uated at the point where 99% of all users are served by the </w:t>
      </w:r>
      <w:r w:rsidR="00461155">
        <w:rPr>
          <w:rFonts w:ascii="Arial" w:hAnsi="Arial" w:cs="Arial"/>
          <w:sz w:val="20"/>
        </w:rPr>
        <w:t xml:space="preserve">investigated </w:t>
      </w:r>
      <w:r w:rsidR="00BD2F8D">
        <w:rPr>
          <w:rFonts w:ascii="Arial" w:hAnsi="Arial" w:cs="Arial"/>
          <w:sz w:val="20"/>
        </w:rPr>
        <w:t>system.</w:t>
      </w:r>
    </w:p>
    <w:p w14:paraId="41679DC8" w14:textId="2268EDD7" w:rsidR="00A11D96" w:rsidRPr="00BD2F8D" w:rsidRDefault="00BD2F8D" w:rsidP="00A11D96">
      <w:pPr>
        <w:rPr>
          <w:rFonts w:ascii="Arial" w:hAnsi="Arial" w:cs="Arial"/>
          <w:b/>
          <w:sz w:val="20"/>
        </w:rPr>
      </w:pPr>
      <w:r>
        <w:rPr>
          <w:rFonts w:ascii="Arial" w:hAnsi="Arial" w:cs="Arial"/>
          <w:b/>
          <w:sz w:val="20"/>
        </w:rPr>
        <w:t>Proposal</w:t>
      </w:r>
      <w:r w:rsidR="009D28F7">
        <w:rPr>
          <w:rFonts w:ascii="Arial" w:hAnsi="Arial" w:cs="Arial"/>
          <w:b/>
          <w:sz w:val="20"/>
        </w:rPr>
        <w:t xml:space="preserve"> 3</w:t>
      </w:r>
      <w:r w:rsidRPr="00BD2F8D">
        <w:rPr>
          <w:rFonts w:ascii="Arial" w:hAnsi="Arial" w:cs="Arial"/>
          <w:b/>
          <w:sz w:val="20"/>
        </w:rPr>
        <w:t xml:space="preserve">: The </w:t>
      </w:r>
      <w:r w:rsidR="00461155">
        <w:rPr>
          <w:rFonts w:ascii="Arial" w:hAnsi="Arial" w:cs="Arial"/>
          <w:b/>
          <w:sz w:val="20"/>
        </w:rPr>
        <w:t xml:space="preserve">TR 38.913 Connection density </w:t>
      </w:r>
      <w:r w:rsidRPr="00BD2F8D">
        <w:rPr>
          <w:rFonts w:ascii="Arial" w:hAnsi="Arial" w:cs="Arial"/>
          <w:b/>
          <w:sz w:val="20"/>
        </w:rPr>
        <w:t xml:space="preserve">Packet drop rate requirement </w:t>
      </w:r>
      <w:r>
        <w:rPr>
          <w:rFonts w:ascii="Arial" w:hAnsi="Arial" w:cs="Arial"/>
          <w:b/>
          <w:sz w:val="20"/>
        </w:rPr>
        <w:t>is interpreted as</w:t>
      </w:r>
      <w:r w:rsidRPr="00BD2F8D">
        <w:rPr>
          <w:rFonts w:ascii="Arial" w:hAnsi="Arial" w:cs="Arial"/>
          <w:b/>
          <w:sz w:val="20"/>
        </w:rPr>
        <w:t xml:space="preserve"> an outage requirement of 1%, implying that the connection density should be provided at the point where 99% of all users are served by the system.</w:t>
      </w:r>
      <w:r w:rsidR="00A11D96" w:rsidRPr="00BD2F8D">
        <w:rPr>
          <w:rFonts w:ascii="Arial" w:hAnsi="Arial" w:cs="Arial"/>
          <w:b/>
          <w:sz w:val="20"/>
        </w:rPr>
        <w:t xml:space="preserve"> </w:t>
      </w:r>
    </w:p>
    <w:p w14:paraId="5D53AC4E" w14:textId="6A3DC07E" w:rsidR="005E720A" w:rsidRPr="005E720A" w:rsidRDefault="00BD2F8D" w:rsidP="008A2D83">
      <w:pPr>
        <w:tabs>
          <w:tab w:val="left" w:pos="5245"/>
        </w:tabs>
        <w:rPr>
          <w:rFonts w:ascii="Arial" w:hAnsi="Arial" w:cs="Arial"/>
          <w:sz w:val="20"/>
        </w:rPr>
      </w:pPr>
      <w:r>
        <w:rPr>
          <w:rFonts w:ascii="Arial" w:hAnsi="Arial" w:cs="Arial"/>
          <w:sz w:val="20"/>
        </w:rPr>
        <w:t xml:space="preserve">The meaning of a packet dropping timer depends on at what level in the protocol stack the timer is considered. </w:t>
      </w:r>
      <w:r w:rsidR="005E720A" w:rsidRPr="005E720A">
        <w:rPr>
          <w:rFonts w:ascii="Arial" w:hAnsi="Arial" w:cs="Arial"/>
          <w:sz w:val="20"/>
        </w:rPr>
        <w:t>We propose it to be defined as a timer started at the point where the higher layers in the device or the eNB triggers a connection attempt, and at expiration the user is considered as dropped</w:t>
      </w:r>
      <w:r w:rsidR="005E720A">
        <w:rPr>
          <w:rFonts w:ascii="Arial" w:hAnsi="Arial" w:cs="Arial"/>
          <w:sz w:val="20"/>
        </w:rPr>
        <w:t>.</w:t>
      </w:r>
      <w:r w:rsidR="005E720A" w:rsidRPr="005E720A">
        <w:rPr>
          <w:rFonts w:ascii="Arial" w:hAnsi="Arial" w:cs="Arial"/>
          <w:sz w:val="20"/>
        </w:rPr>
        <w:t xml:space="preserve"> </w:t>
      </w:r>
    </w:p>
    <w:p w14:paraId="031DCF70" w14:textId="63B74FC8" w:rsidR="00BD2F8D" w:rsidRDefault="00717F33" w:rsidP="008A2D83">
      <w:pPr>
        <w:tabs>
          <w:tab w:val="left" w:pos="5245"/>
        </w:tabs>
        <w:rPr>
          <w:rFonts w:ascii="Arial" w:hAnsi="Arial" w:cs="Arial"/>
          <w:sz w:val="20"/>
        </w:rPr>
      </w:pPr>
      <w:r>
        <w:rPr>
          <w:rFonts w:ascii="Arial" w:hAnsi="Arial" w:cs="Arial"/>
          <w:b/>
          <w:sz w:val="20"/>
        </w:rPr>
        <w:lastRenderedPageBreak/>
        <w:t>Proposal</w:t>
      </w:r>
      <w:r w:rsidR="009D28F7">
        <w:rPr>
          <w:rFonts w:ascii="Arial" w:hAnsi="Arial" w:cs="Arial"/>
          <w:b/>
          <w:sz w:val="20"/>
        </w:rPr>
        <w:t xml:space="preserve"> 4</w:t>
      </w:r>
      <w:r>
        <w:rPr>
          <w:rFonts w:ascii="Arial" w:hAnsi="Arial" w:cs="Arial"/>
          <w:b/>
          <w:sz w:val="20"/>
        </w:rPr>
        <w:t xml:space="preserve">: </w:t>
      </w:r>
      <w:r w:rsidR="005E720A">
        <w:rPr>
          <w:rFonts w:ascii="Arial" w:hAnsi="Arial" w:cs="Arial"/>
          <w:b/>
          <w:sz w:val="20"/>
        </w:rPr>
        <w:t>A</w:t>
      </w:r>
      <w:r>
        <w:rPr>
          <w:rFonts w:ascii="Arial" w:hAnsi="Arial" w:cs="Arial"/>
          <w:b/>
          <w:sz w:val="20"/>
        </w:rPr>
        <w:t xml:space="preserve"> packet dropping timer should be started when upper layers triggers an attempt to access the system for the purpose of initiating a data transfer. The timer</w:t>
      </w:r>
      <w:r w:rsidR="008441CA">
        <w:rPr>
          <w:rFonts w:ascii="Arial" w:hAnsi="Arial" w:cs="Arial"/>
          <w:b/>
          <w:sz w:val="20"/>
        </w:rPr>
        <w:t xml:space="preserve"> is terminated when the data has been delivered by the receiver.</w:t>
      </w:r>
    </w:p>
    <w:p w14:paraId="42D5B3BD" w14:textId="07DDC95F" w:rsidR="00717F33" w:rsidRDefault="00B76BEC" w:rsidP="008A2D83">
      <w:pPr>
        <w:tabs>
          <w:tab w:val="left" w:pos="5245"/>
        </w:tabs>
        <w:rPr>
          <w:rFonts w:ascii="Arial" w:hAnsi="Arial" w:cs="Arial"/>
          <w:sz w:val="20"/>
        </w:rPr>
      </w:pPr>
      <w:r>
        <w:rPr>
          <w:rFonts w:ascii="Arial" w:hAnsi="Arial" w:cs="Arial"/>
          <w:sz w:val="20"/>
        </w:rPr>
        <w:t>T</w:t>
      </w:r>
      <w:r w:rsidR="00717F33">
        <w:rPr>
          <w:rFonts w:ascii="Arial" w:hAnsi="Arial" w:cs="Arial"/>
          <w:sz w:val="20"/>
        </w:rPr>
        <w:t>he actual timer</w:t>
      </w:r>
      <w:r>
        <w:rPr>
          <w:rFonts w:ascii="Arial" w:hAnsi="Arial" w:cs="Arial"/>
          <w:sz w:val="20"/>
        </w:rPr>
        <w:t xml:space="preserve"> value is dependent on many factor such as agreed path loss and distribution of packet sizes. Massive MTC is also considered to be delay insensitive. With this in mind we believe it is sufficient to declare the used packet drop timer when </w:t>
      </w:r>
      <w:r w:rsidR="003666E8">
        <w:rPr>
          <w:rFonts w:ascii="Arial" w:hAnsi="Arial" w:cs="Arial"/>
          <w:sz w:val="20"/>
        </w:rPr>
        <w:t xml:space="preserve">along with service latency statistics when presenting the connection density. </w:t>
      </w:r>
    </w:p>
    <w:p w14:paraId="2DC065D8" w14:textId="562B0844" w:rsidR="00CC2366" w:rsidRPr="003666E8" w:rsidRDefault="003666E8" w:rsidP="008A2D83">
      <w:pPr>
        <w:tabs>
          <w:tab w:val="left" w:pos="5245"/>
        </w:tabs>
        <w:rPr>
          <w:rFonts w:ascii="Arial" w:hAnsi="Arial" w:cs="Arial"/>
          <w:b/>
          <w:sz w:val="20"/>
        </w:rPr>
      </w:pPr>
      <w:r w:rsidRPr="003666E8">
        <w:rPr>
          <w:rFonts w:ascii="Arial" w:hAnsi="Arial" w:cs="Arial"/>
          <w:b/>
          <w:sz w:val="20"/>
        </w:rPr>
        <w:t>Proposal</w:t>
      </w:r>
      <w:r w:rsidR="009D28F7">
        <w:rPr>
          <w:rFonts w:ascii="Arial" w:hAnsi="Arial" w:cs="Arial"/>
          <w:b/>
          <w:sz w:val="20"/>
        </w:rPr>
        <w:t xml:space="preserve"> 5</w:t>
      </w:r>
      <w:r w:rsidRPr="003666E8">
        <w:rPr>
          <w:rFonts w:ascii="Arial" w:hAnsi="Arial" w:cs="Arial"/>
          <w:b/>
          <w:sz w:val="20"/>
        </w:rPr>
        <w:t>: The p</w:t>
      </w:r>
      <w:r w:rsidR="00CC2366" w:rsidRPr="003666E8">
        <w:rPr>
          <w:rFonts w:ascii="Arial" w:hAnsi="Arial" w:cs="Arial"/>
          <w:b/>
          <w:sz w:val="20"/>
        </w:rPr>
        <w:t>acket drop tim</w:t>
      </w:r>
      <w:r w:rsidRPr="003666E8">
        <w:rPr>
          <w:rFonts w:ascii="Arial" w:hAnsi="Arial" w:cs="Arial"/>
          <w:b/>
          <w:sz w:val="20"/>
        </w:rPr>
        <w:t>er is to be declared and service latency performance is to be presented when presenting the achieved connection density.</w:t>
      </w:r>
    </w:p>
    <w:p w14:paraId="1F2F35F9" w14:textId="5E693E3F" w:rsidR="00FD5C9F" w:rsidRDefault="00431643" w:rsidP="00FD5C9F">
      <w:pPr>
        <w:pStyle w:val="Heading3"/>
        <w:ind w:left="1134" w:hanging="1134"/>
        <w:rPr>
          <w:rFonts w:eastAsia="Times New Roman" w:cs="Times New Roman"/>
          <w:szCs w:val="20"/>
          <w:lang w:val="en-US" w:eastAsia="en-US"/>
        </w:rPr>
      </w:pPr>
      <w:r>
        <w:rPr>
          <w:rFonts w:eastAsia="Times New Roman" w:cs="Times New Roman"/>
          <w:szCs w:val="20"/>
        </w:rPr>
        <w:t>Common</w:t>
      </w:r>
      <w:r w:rsidR="00FD5C9F">
        <w:rPr>
          <w:rFonts w:eastAsia="Times New Roman" w:cs="Times New Roman"/>
          <w:szCs w:val="20"/>
        </w:rPr>
        <w:t xml:space="preserve"> assumptions </w:t>
      </w:r>
    </w:p>
    <w:p w14:paraId="0E2AE8BC" w14:textId="7B06B166" w:rsidR="00FD5C9F" w:rsidRPr="003A7C3F" w:rsidRDefault="00087626" w:rsidP="00FD5C9F">
      <w:pPr>
        <w:tabs>
          <w:tab w:val="left" w:pos="5245"/>
        </w:tabs>
        <w:rPr>
          <w:rFonts w:ascii="Arial" w:hAnsi="Arial" w:cs="Arial"/>
          <w:sz w:val="20"/>
        </w:rPr>
      </w:pPr>
      <w:r w:rsidRPr="003A7C3F">
        <w:rPr>
          <w:rFonts w:ascii="Arial" w:hAnsi="Arial" w:cs="Arial"/>
          <w:sz w:val="20"/>
        </w:rPr>
        <w:t xml:space="preserve">Finally </w:t>
      </w:r>
      <w:r w:rsidR="00431643" w:rsidRPr="003A7C3F">
        <w:rPr>
          <w:rFonts w:ascii="Arial" w:hAnsi="Arial" w:cs="Arial"/>
          <w:sz w:val="20"/>
        </w:rPr>
        <w:t>a set of common physical layer related parameters needs to be agreed to enable proper evaluations.</w:t>
      </w:r>
      <w:r w:rsidR="006B6A7A" w:rsidRPr="003A7C3F">
        <w:rPr>
          <w:rFonts w:ascii="Arial" w:hAnsi="Arial" w:cs="Arial"/>
          <w:sz w:val="20"/>
        </w:rPr>
        <w:t xml:space="preserve"> </w:t>
      </w:r>
      <w:r w:rsidR="006B6A7A" w:rsidRPr="003A7C3F">
        <w:rPr>
          <w:rFonts w:ascii="Arial" w:hAnsi="Arial" w:cs="Arial"/>
          <w:sz w:val="20"/>
        </w:rPr>
        <w:fldChar w:fldCharType="begin"/>
      </w:r>
      <w:r w:rsidR="006B6A7A" w:rsidRPr="003A7C3F">
        <w:rPr>
          <w:rFonts w:ascii="Arial" w:hAnsi="Arial" w:cs="Arial"/>
          <w:sz w:val="20"/>
        </w:rPr>
        <w:instrText xml:space="preserve"> REF _Ref471304401 \h </w:instrText>
      </w:r>
      <w:r w:rsidR="003A7C3F">
        <w:rPr>
          <w:rFonts w:ascii="Arial" w:hAnsi="Arial" w:cs="Arial"/>
          <w:sz w:val="20"/>
        </w:rPr>
        <w:instrText xml:space="preserve"> \* MERGEFORMAT </w:instrText>
      </w:r>
      <w:r w:rsidR="006B6A7A" w:rsidRPr="003A7C3F">
        <w:rPr>
          <w:rFonts w:ascii="Arial" w:hAnsi="Arial" w:cs="Arial"/>
          <w:sz w:val="20"/>
        </w:rPr>
      </w:r>
      <w:r w:rsidR="006B6A7A" w:rsidRPr="003A7C3F">
        <w:rPr>
          <w:rFonts w:ascii="Arial" w:hAnsi="Arial" w:cs="Arial"/>
          <w:sz w:val="20"/>
        </w:rPr>
        <w:fldChar w:fldCharType="separate"/>
      </w:r>
      <w:r w:rsidR="00140E5C" w:rsidRPr="005E5F62">
        <w:rPr>
          <w:rFonts w:ascii="Arial" w:hAnsi="Arial" w:cs="Arial"/>
          <w:sz w:val="20"/>
        </w:rPr>
        <w:t xml:space="preserve">Table </w:t>
      </w:r>
      <w:r w:rsidR="00140E5C">
        <w:rPr>
          <w:rFonts w:ascii="Arial" w:hAnsi="Arial" w:cs="Arial"/>
          <w:noProof/>
          <w:sz w:val="20"/>
        </w:rPr>
        <w:t>5</w:t>
      </w:r>
      <w:r w:rsidR="006B6A7A" w:rsidRPr="003A7C3F">
        <w:rPr>
          <w:rFonts w:ascii="Arial" w:hAnsi="Arial" w:cs="Arial"/>
          <w:sz w:val="20"/>
        </w:rPr>
        <w:fldChar w:fldCharType="end"/>
      </w:r>
      <w:r w:rsidR="006B6A7A" w:rsidRPr="003A7C3F">
        <w:rPr>
          <w:rFonts w:ascii="Arial" w:hAnsi="Arial" w:cs="Arial"/>
          <w:sz w:val="20"/>
        </w:rPr>
        <w:t xml:space="preserve"> lists a few of the more relevant parameters along with the values used for the </w:t>
      </w:r>
      <w:r w:rsidR="00FD465C">
        <w:rPr>
          <w:rFonts w:ascii="Arial" w:hAnsi="Arial" w:cs="Arial"/>
          <w:sz w:val="20"/>
        </w:rPr>
        <w:t>system capacity</w:t>
      </w:r>
      <w:r w:rsidR="006B6A7A" w:rsidRPr="003A7C3F">
        <w:rPr>
          <w:rFonts w:ascii="Arial" w:hAnsi="Arial" w:cs="Arial"/>
          <w:sz w:val="20"/>
        </w:rPr>
        <w:t xml:space="preserve"> evaluations during Release 13 </w:t>
      </w:r>
      <w:r w:rsidR="004C3CE9">
        <w:rPr>
          <w:rFonts w:ascii="Arial" w:hAnsi="Arial" w:cs="Arial"/>
          <w:sz w:val="20"/>
        </w:rPr>
        <w:t xml:space="preserve">e.g. </w:t>
      </w:r>
      <w:r w:rsidR="006B6A7A" w:rsidRPr="003A7C3F">
        <w:rPr>
          <w:rFonts w:ascii="Arial" w:hAnsi="Arial" w:cs="Arial"/>
          <w:sz w:val="20"/>
        </w:rPr>
        <w:t xml:space="preserve">in TR 45.820 </w:t>
      </w:r>
      <w:r w:rsidR="006B6A7A" w:rsidRPr="003A7C3F">
        <w:rPr>
          <w:rFonts w:ascii="Arial" w:hAnsi="Arial" w:cs="Arial"/>
          <w:sz w:val="20"/>
        </w:rPr>
        <w:fldChar w:fldCharType="begin"/>
      </w:r>
      <w:r w:rsidR="006B6A7A" w:rsidRPr="003A7C3F">
        <w:rPr>
          <w:rFonts w:ascii="Arial" w:hAnsi="Arial" w:cs="Arial"/>
          <w:sz w:val="20"/>
        </w:rPr>
        <w:instrText xml:space="preserve"> REF _Ref463001619 \r \h </w:instrText>
      </w:r>
      <w:r w:rsidR="003A7C3F">
        <w:rPr>
          <w:rFonts w:ascii="Arial" w:hAnsi="Arial" w:cs="Arial"/>
          <w:sz w:val="20"/>
        </w:rPr>
        <w:instrText xml:space="preserve"> \* MERGEFORMAT </w:instrText>
      </w:r>
      <w:r w:rsidR="006B6A7A" w:rsidRPr="003A7C3F">
        <w:rPr>
          <w:rFonts w:ascii="Arial" w:hAnsi="Arial" w:cs="Arial"/>
          <w:sz w:val="20"/>
        </w:rPr>
      </w:r>
      <w:r w:rsidR="006B6A7A" w:rsidRPr="003A7C3F">
        <w:rPr>
          <w:rFonts w:ascii="Arial" w:hAnsi="Arial" w:cs="Arial"/>
          <w:sz w:val="20"/>
        </w:rPr>
        <w:fldChar w:fldCharType="separate"/>
      </w:r>
      <w:r w:rsidR="00140E5C">
        <w:rPr>
          <w:rFonts w:ascii="Arial" w:hAnsi="Arial" w:cs="Arial"/>
          <w:sz w:val="20"/>
        </w:rPr>
        <w:t>[3]</w:t>
      </w:r>
      <w:r w:rsidR="006B6A7A" w:rsidRPr="003A7C3F">
        <w:rPr>
          <w:rFonts w:ascii="Arial" w:hAnsi="Arial" w:cs="Arial"/>
          <w:sz w:val="20"/>
        </w:rPr>
        <w:fldChar w:fldCharType="end"/>
      </w:r>
      <w:r w:rsidR="006B6A7A" w:rsidRPr="003A7C3F">
        <w:rPr>
          <w:rFonts w:ascii="Arial" w:hAnsi="Arial" w:cs="Arial"/>
          <w:sz w:val="20"/>
        </w:rPr>
        <w:t xml:space="preserve"> as well as some assumptions found in TR 38.913 </w:t>
      </w:r>
      <w:r w:rsidR="006B6A7A" w:rsidRPr="003A7C3F">
        <w:rPr>
          <w:rFonts w:ascii="Arial" w:hAnsi="Arial" w:cs="Arial"/>
          <w:sz w:val="20"/>
        </w:rPr>
        <w:fldChar w:fldCharType="begin"/>
      </w:r>
      <w:r w:rsidR="006B6A7A" w:rsidRPr="003A7C3F">
        <w:rPr>
          <w:rFonts w:ascii="Arial" w:hAnsi="Arial" w:cs="Arial"/>
          <w:sz w:val="20"/>
        </w:rPr>
        <w:instrText xml:space="preserve"> REF _Ref471304478 \r \h </w:instrText>
      </w:r>
      <w:r w:rsidR="003A7C3F">
        <w:rPr>
          <w:rFonts w:ascii="Arial" w:hAnsi="Arial" w:cs="Arial"/>
          <w:sz w:val="20"/>
        </w:rPr>
        <w:instrText xml:space="preserve"> \* MERGEFORMAT </w:instrText>
      </w:r>
      <w:r w:rsidR="006B6A7A" w:rsidRPr="003A7C3F">
        <w:rPr>
          <w:rFonts w:ascii="Arial" w:hAnsi="Arial" w:cs="Arial"/>
          <w:sz w:val="20"/>
        </w:rPr>
      </w:r>
      <w:r w:rsidR="006B6A7A" w:rsidRPr="003A7C3F">
        <w:rPr>
          <w:rFonts w:ascii="Arial" w:hAnsi="Arial" w:cs="Arial"/>
          <w:sz w:val="20"/>
        </w:rPr>
        <w:fldChar w:fldCharType="separate"/>
      </w:r>
      <w:r w:rsidR="00140E5C">
        <w:rPr>
          <w:rFonts w:ascii="Arial" w:hAnsi="Arial" w:cs="Arial"/>
          <w:sz w:val="20"/>
        </w:rPr>
        <w:t>[2]</w:t>
      </w:r>
      <w:r w:rsidR="006B6A7A" w:rsidRPr="003A7C3F">
        <w:rPr>
          <w:rFonts w:ascii="Arial" w:hAnsi="Arial" w:cs="Arial"/>
          <w:sz w:val="20"/>
        </w:rPr>
        <w:fldChar w:fldCharType="end"/>
      </w:r>
      <w:r w:rsidR="006B6A7A" w:rsidRPr="003A7C3F">
        <w:rPr>
          <w:rFonts w:ascii="Arial" w:hAnsi="Arial" w:cs="Arial"/>
          <w:sz w:val="20"/>
        </w:rPr>
        <w:t xml:space="preserve"> for NR. It’s important that a common agreement on these parameters is reached before the self-evaluations start.</w:t>
      </w:r>
    </w:p>
    <w:p w14:paraId="06022738" w14:textId="5A953352" w:rsidR="006B6A7A" w:rsidRPr="005E5F62" w:rsidRDefault="006B6A7A" w:rsidP="006B6A7A">
      <w:pPr>
        <w:pStyle w:val="Caption"/>
        <w:keepNext/>
        <w:rPr>
          <w:rFonts w:ascii="Arial" w:hAnsi="Arial" w:cs="Arial"/>
          <w:sz w:val="20"/>
        </w:rPr>
      </w:pPr>
      <w:bookmarkStart w:id="9" w:name="_Ref471304401"/>
      <w:r w:rsidRPr="005E5F62">
        <w:rPr>
          <w:rFonts w:ascii="Arial" w:hAnsi="Arial" w:cs="Arial"/>
          <w:sz w:val="20"/>
        </w:rPr>
        <w:t xml:space="preserve">Table </w:t>
      </w:r>
      <w:r w:rsidRPr="005E5F62">
        <w:rPr>
          <w:rFonts w:ascii="Arial" w:hAnsi="Arial" w:cs="Arial"/>
          <w:sz w:val="20"/>
        </w:rPr>
        <w:fldChar w:fldCharType="begin"/>
      </w:r>
      <w:r w:rsidRPr="005E5F62">
        <w:rPr>
          <w:rFonts w:ascii="Arial" w:hAnsi="Arial" w:cs="Arial"/>
          <w:sz w:val="20"/>
        </w:rPr>
        <w:instrText xml:space="preserve"> SEQ Table \* ARABIC </w:instrText>
      </w:r>
      <w:r w:rsidRPr="005E5F62">
        <w:rPr>
          <w:rFonts w:ascii="Arial" w:hAnsi="Arial" w:cs="Arial"/>
          <w:sz w:val="20"/>
        </w:rPr>
        <w:fldChar w:fldCharType="separate"/>
      </w:r>
      <w:r w:rsidR="00140E5C">
        <w:rPr>
          <w:rFonts w:ascii="Arial" w:hAnsi="Arial" w:cs="Arial"/>
          <w:noProof/>
          <w:sz w:val="20"/>
        </w:rPr>
        <w:t>5</w:t>
      </w:r>
      <w:r w:rsidRPr="005E5F62">
        <w:rPr>
          <w:rFonts w:ascii="Arial" w:hAnsi="Arial" w:cs="Arial"/>
          <w:sz w:val="20"/>
        </w:rPr>
        <w:fldChar w:fldCharType="end"/>
      </w:r>
      <w:bookmarkEnd w:id="9"/>
      <w:r w:rsidRPr="005E5F62">
        <w:rPr>
          <w:rFonts w:ascii="Arial" w:hAnsi="Arial" w:cs="Arial"/>
          <w:sz w:val="20"/>
        </w:rPr>
        <w:t xml:space="preserve"> </w:t>
      </w:r>
      <w:r w:rsidR="0022592F" w:rsidRPr="005E5F62">
        <w:rPr>
          <w:rFonts w:ascii="Arial" w:hAnsi="Arial" w:cs="Arial"/>
          <w:sz w:val="20"/>
        </w:rPr>
        <w:t>Physical layer</w:t>
      </w:r>
      <w:r w:rsidRPr="005E5F62">
        <w:rPr>
          <w:rFonts w:ascii="Arial" w:hAnsi="Arial" w:cs="Arial"/>
          <w:sz w:val="20"/>
        </w:rPr>
        <w:t xml:space="preserve"> assumptions.</w:t>
      </w:r>
    </w:p>
    <w:tbl>
      <w:tblPr>
        <w:tblStyle w:val="TableGrid"/>
        <w:tblW w:w="0" w:type="auto"/>
        <w:tblLook w:val="04A0" w:firstRow="1" w:lastRow="0" w:firstColumn="1" w:lastColumn="0" w:noHBand="0" w:noVBand="1"/>
      </w:tblPr>
      <w:tblGrid>
        <w:gridCol w:w="2533"/>
        <w:gridCol w:w="3558"/>
        <w:gridCol w:w="3402"/>
      </w:tblGrid>
      <w:tr w:rsidR="00FD465C" w14:paraId="1B09D623" w14:textId="77777777" w:rsidTr="00FD465C">
        <w:tc>
          <w:tcPr>
            <w:tcW w:w="2533" w:type="dxa"/>
          </w:tcPr>
          <w:p w14:paraId="59EE841F" w14:textId="078725A3" w:rsidR="00FD465C" w:rsidRPr="00431643" w:rsidRDefault="00FD465C" w:rsidP="00431643">
            <w:pPr>
              <w:pStyle w:val="TAH"/>
              <w:rPr>
                <w:lang w:val="en-US"/>
              </w:rPr>
            </w:pPr>
            <w:r>
              <w:rPr>
                <w:lang w:val="en-US"/>
              </w:rPr>
              <w:t>Parameter</w:t>
            </w:r>
          </w:p>
        </w:tc>
        <w:tc>
          <w:tcPr>
            <w:tcW w:w="3558" w:type="dxa"/>
          </w:tcPr>
          <w:p w14:paraId="2E4F75F3" w14:textId="1076560C" w:rsidR="00FD465C" w:rsidRPr="00431643" w:rsidRDefault="004C3CE9" w:rsidP="00431643">
            <w:pPr>
              <w:pStyle w:val="TAH"/>
              <w:rPr>
                <w:lang w:val="en-US"/>
              </w:rPr>
            </w:pPr>
            <w:r>
              <w:rPr>
                <w:lang w:val="en-US"/>
              </w:rPr>
              <w:t>Release 13</w:t>
            </w:r>
          </w:p>
        </w:tc>
        <w:tc>
          <w:tcPr>
            <w:tcW w:w="3402" w:type="dxa"/>
          </w:tcPr>
          <w:p w14:paraId="396CB934" w14:textId="3BF770FF" w:rsidR="00FD465C" w:rsidRPr="00431643" w:rsidRDefault="00FD465C" w:rsidP="00431643">
            <w:pPr>
              <w:pStyle w:val="TAH"/>
              <w:rPr>
                <w:lang w:val="en-US"/>
              </w:rPr>
            </w:pPr>
            <w:r w:rsidRPr="00431643">
              <w:rPr>
                <w:lang w:val="en-US"/>
              </w:rPr>
              <w:t>TR 38.</w:t>
            </w:r>
            <w:r>
              <w:rPr>
                <w:lang w:val="en-US"/>
              </w:rPr>
              <w:t>9</w:t>
            </w:r>
            <w:r w:rsidRPr="00431643">
              <w:rPr>
                <w:lang w:val="en-US"/>
              </w:rPr>
              <w:t>13</w:t>
            </w:r>
            <w:r>
              <w:rPr>
                <w:lang w:val="en-US"/>
              </w:rPr>
              <w:t>, chapter 6.1.7</w:t>
            </w:r>
            <w:r w:rsidR="00E47E5A">
              <w:rPr>
                <w:lang w:val="en-US"/>
              </w:rPr>
              <w:t>,</w:t>
            </w:r>
            <w:r>
              <w:rPr>
                <w:lang w:val="en-US"/>
              </w:rPr>
              <w:t xml:space="preserve"> 7.10, 7.11, 7.17</w:t>
            </w:r>
          </w:p>
        </w:tc>
      </w:tr>
      <w:tr w:rsidR="00FD465C" w14:paraId="6E9AD779" w14:textId="77777777" w:rsidTr="008F62DC">
        <w:tc>
          <w:tcPr>
            <w:tcW w:w="2533" w:type="dxa"/>
          </w:tcPr>
          <w:p w14:paraId="5F0E3D8B" w14:textId="3A52C255" w:rsidR="00FD465C" w:rsidRDefault="00FD465C" w:rsidP="001054F7">
            <w:pPr>
              <w:pStyle w:val="TAC"/>
              <w:jc w:val="left"/>
              <w:rPr>
                <w:lang w:val="en-US"/>
              </w:rPr>
            </w:pPr>
            <w:r>
              <w:rPr>
                <w:lang w:eastAsia="zh-CN"/>
              </w:rPr>
              <w:t>Carrier Frequency</w:t>
            </w:r>
          </w:p>
        </w:tc>
        <w:tc>
          <w:tcPr>
            <w:tcW w:w="3558" w:type="dxa"/>
          </w:tcPr>
          <w:p w14:paraId="405BF6CE" w14:textId="2AD2F0E9" w:rsidR="00FD465C" w:rsidRDefault="00FD465C" w:rsidP="001054F7">
            <w:pPr>
              <w:pStyle w:val="TAC"/>
              <w:jc w:val="left"/>
              <w:rPr>
                <w:lang w:val="en-US"/>
              </w:rPr>
            </w:pPr>
            <w:r>
              <w:rPr>
                <w:lang w:val="en-US"/>
              </w:rPr>
              <w:t>900 MHz</w:t>
            </w:r>
          </w:p>
        </w:tc>
        <w:tc>
          <w:tcPr>
            <w:tcW w:w="3402" w:type="dxa"/>
            <w:vAlign w:val="center"/>
          </w:tcPr>
          <w:p w14:paraId="23181999" w14:textId="17448DC7" w:rsidR="00FD465C" w:rsidRDefault="00FD465C" w:rsidP="001054F7">
            <w:pPr>
              <w:pStyle w:val="TAC"/>
              <w:jc w:val="left"/>
              <w:rPr>
                <w:lang w:val="en-US"/>
              </w:rPr>
            </w:pPr>
            <w:r>
              <w:rPr>
                <w:rFonts w:eastAsia="Arial Unicode MS"/>
              </w:rPr>
              <w:t>700MHz, 2100 MHz as an option</w:t>
            </w:r>
          </w:p>
        </w:tc>
      </w:tr>
      <w:tr w:rsidR="00FD465C" w14:paraId="4DFFED52" w14:textId="77777777" w:rsidTr="00FD465C">
        <w:tc>
          <w:tcPr>
            <w:tcW w:w="2533" w:type="dxa"/>
          </w:tcPr>
          <w:p w14:paraId="3220207F" w14:textId="17AD382C" w:rsidR="00FD465C" w:rsidRDefault="00FD465C" w:rsidP="001054F7">
            <w:pPr>
              <w:pStyle w:val="TAC"/>
              <w:jc w:val="left"/>
              <w:rPr>
                <w:lang w:val="en-US"/>
              </w:rPr>
            </w:pPr>
            <w:r>
              <w:rPr>
                <w:lang w:eastAsia="zh-CN"/>
              </w:rPr>
              <w:t>Network deployment including ISD</w:t>
            </w:r>
          </w:p>
        </w:tc>
        <w:tc>
          <w:tcPr>
            <w:tcW w:w="3558" w:type="dxa"/>
          </w:tcPr>
          <w:p w14:paraId="158B83ED" w14:textId="2102AC6E" w:rsidR="00FD465C" w:rsidRDefault="00FD465C" w:rsidP="001054F7">
            <w:pPr>
              <w:pStyle w:val="TAC"/>
              <w:jc w:val="left"/>
              <w:rPr>
                <w:lang w:val="en-US"/>
              </w:rPr>
            </w:pPr>
            <w:r>
              <w:rPr>
                <w:rFonts w:eastAsia="Arial Unicode MS"/>
              </w:rPr>
              <w:t>Macro only, ISD = 1732m</w:t>
            </w:r>
          </w:p>
        </w:tc>
        <w:tc>
          <w:tcPr>
            <w:tcW w:w="3402" w:type="dxa"/>
          </w:tcPr>
          <w:p w14:paraId="2450E222" w14:textId="39AFD460" w:rsidR="00FD465C" w:rsidRDefault="00FD465C" w:rsidP="001054F7">
            <w:pPr>
              <w:pStyle w:val="TAC"/>
              <w:jc w:val="left"/>
              <w:rPr>
                <w:lang w:val="en-US"/>
              </w:rPr>
            </w:pPr>
            <w:r>
              <w:rPr>
                <w:rFonts w:eastAsia="Arial Unicode MS"/>
              </w:rPr>
              <w:t>Macro only, ISD = 1732m, 500m</w:t>
            </w:r>
          </w:p>
        </w:tc>
      </w:tr>
      <w:tr w:rsidR="004C3CE9" w14:paraId="23328D34" w14:textId="77777777" w:rsidTr="00FD465C">
        <w:tc>
          <w:tcPr>
            <w:tcW w:w="2533" w:type="dxa"/>
          </w:tcPr>
          <w:p w14:paraId="3965B338" w14:textId="271B1F84" w:rsidR="004C3CE9" w:rsidRDefault="004C3CE9" w:rsidP="001054F7">
            <w:pPr>
              <w:pStyle w:val="TAC"/>
              <w:jc w:val="left"/>
              <w:rPr>
                <w:lang w:eastAsia="zh-CN"/>
              </w:rPr>
            </w:pPr>
            <w:r>
              <w:rPr>
                <w:lang w:eastAsia="zh-CN"/>
              </w:rPr>
              <w:t>Device deployment</w:t>
            </w:r>
          </w:p>
        </w:tc>
        <w:tc>
          <w:tcPr>
            <w:tcW w:w="3558" w:type="dxa"/>
          </w:tcPr>
          <w:p w14:paraId="0D992CE9" w14:textId="573E3DDE" w:rsidR="004C3CE9" w:rsidRDefault="001054F7" w:rsidP="001054F7">
            <w:pPr>
              <w:pStyle w:val="TAC"/>
              <w:jc w:val="left"/>
              <w:rPr>
                <w:rFonts w:eastAsia="Arial Unicode MS"/>
              </w:rPr>
            </w:pPr>
            <w:r>
              <w:rPr>
                <w:rFonts w:eastAsia="Arial Unicode MS"/>
              </w:rPr>
              <w:t>Indoor</w:t>
            </w:r>
          </w:p>
        </w:tc>
        <w:tc>
          <w:tcPr>
            <w:tcW w:w="3402" w:type="dxa"/>
          </w:tcPr>
          <w:p w14:paraId="485C97A6" w14:textId="6285802D" w:rsidR="004C3CE9" w:rsidRDefault="004C3CE9" w:rsidP="001054F7">
            <w:pPr>
              <w:pStyle w:val="TAC"/>
              <w:jc w:val="left"/>
              <w:rPr>
                <w:rFonts w:eastAsia="Arial Unicode MS"/>
              </w:rPr>
            </w:pPr>
            <w:r>
              <w:rPr>
                <w:rFonts w:eastAsia="Arial Unicode MS"/>
                <w:lang w:eastAsia="zh-CN"/>
              </w:rPr>
              <w:t>Indoor, and outdoor in-car devices</w:t>
            </w:r>
          </w:p>
        </w:tc>
      </w:tr>
      <w:tr w:rsidR="004C3CE9" w14:paraId="3EE957C1" w14:textId="77777777" w:rsidTr="00FD465C">
        <w:tc>
          <w:tcPr>
            <w:tcW w:w="2533" w:type="dxa"/>
          </w:tcPr>
          <w:p w14:paraId="75733961" w14:textId="71ADA704" w:rsidR="004C3CE9" w:rsidRDefault="004C3CE9" w:rsidP="001054F7">
            <w:pPr>
              <w:pStyle w:val="TAC"/>
              <w:jc w:val="left"/>
              <w:rPr>
                <w:lang w:eastAsia="zh-CN"/>
              </w:rPr>
            </w:pPr>
            <w:r>
              <w:rPr>
                <w:lang w:eastAsia="zh-CN"/>
              </w:rPr>
              <w:t>Mobility</w:t>
            </w:r>
          </w:p>
        </w:tc>
        <w:tc>
          <w:tcPr>
            <w:tcW w:w="3558" w:type="dxa"/>
          </w:tcPr>
          <w:p w14:paraId="606D3839" w14:textId="503299CB" w:rsidR="004C3CE9" w:rsidRDefault="004C3CE9" w:rsidP="001054F7">
            <w:pPr>
              <w:pStyle w:val="TAC"/>
              <w:jc w:val="left"/>
              <w:rPr>
                <w:rFonts w:eastAsia="Arial Unicode MS"/>
              </w:rPr>
            </w:pPr>
            <w:r>
              <w:rPr>
                <w:rFonts w:eastAsia="Arial Unicode MS"/>
              </w:rPr>
              <w:t>0 km/h</w:t>
            </w:r>
          </w:p>
        </w:tc>
        <w:tc>
          <w:tcPr>
            <w:tcW w:w="3402" w:type="dxa"/>
          </w:tcPr>
          <w:p w14:paraId="7F11B2D8" w14:textId="77777777" w:rsidR="004C3CE9" w:rsidRDefault="004C3CE9" w:rsidP="001054F7">
            <w:pPr>
              <w:pStyle w:val="TAL"/>
              <w:keepNext w:val="0"/>
              <w:keepLines w:val="0"/>
              <w:widowControl w:val="0"/>
              <w:rPr>
                <w:rFonts w:eastAsia="Arial Unicode MS"/>
              </w:rPr>
            </w:pPr>
            <w:r>
              <w:rPr>
                <w:rFonts w:eastAsia="Arial Unicode MS"/>
              </w:rPr>
              <w:t>20% of users are outdoor in cars (100km/h) or 20% of users are outdoors (3km/h)</w:t>
            </w:r>
          </w:p>
          <w:p w14:paraId="6506FD6E" w14:textId="77777777" w:rsidR="004C3CE9" w:rsidRDefault="004C3CE9" w:rsidP="001054F7">
            <w:pPr>
              <w:pStyle w:val="TAL"/>
              <w:keepNext w:val="0"/>
              <w:keepLines w:val="0"/>
              <w:widowControl w:val="0"/>
              <w:rPr>
                <w:rFonts w:eastAsia="Arial Unicode MS"/>
              </w:rPr>
            </w:pPr>
            <w:r>
              <w:rPr>
                <w:rFonts w:eastAsia="Arial Unicode MS"/>
              </w:rPr>
              <w:t>80% of users are indoor (3km/h)</w:t>
            </w:r>
          </w:p>
          <w:p w14:paraId="5912BCFF" w14:textId="583553A1" w:rsidR="004C3CE9" w:rsidRDefault="004C3CE9" w:rsidP="001054F7">
            <w:pPr>
              <w:pStyle w:val="TAC"/>
              <w:jc w:val="left"/>
              <w:rPr>
                <w:rFonts w:eastAsia="Arial Unicode MS"/>
                <w:lang w:eastAsia="zh-CN"/>
              </w:rPr>
            </w:pPr>
            <w:r>
              <w:rPr>
                <w:rFonts w:eastAsia="Arial Unicode MS"/>
              </w:rPr>
              <w:t>Users dropped uniformly in entire cell</w:t>
            </w:r>
          </w:p>
        </w:tc>
      </w:tr>
      <w:tr w:rsidR="004C3CE9" w14:paraId="12F5A36A" w14:textId="77777777" w:rsidTr="00FD465C">
        <w:tc>
          <w:tcPr>
            <w:tcW w:w="2533" w:type="dxa"/>
          </w:tcPr>
          <w:p w14:paraId="635C8DBF" w14:textId="0D3CE517" w:rsidR="004C3CE9" w:rsidRDefault="004C3CE9" w:rsidP="001054F7">
            <w:pPr>
              <w:pStyle w:val="TAC"/>
              <w:jc w:val="left"/>
              <w:rPr>
                <w:lang w:eastAsia="zh-CN"/>
              </w:rPr>
            </w:pPr>
            <w:r>
              <w:rPr>
                <w:lang w:eastAsia="zh-CN"/>
              </w:rPr>
              <w:t>BS antenna elements</w:t>
            </w:r>
          </w:p>
        </w:tc>
        <w:tc>
          <w:tcPr>
            <w:tcW w:w="3558" w:type="dxa"/>
          </w:tcPr>
          <w:p w14:paraId="70B6B871" w14:textId="3111C119" w:rsidR="004C3CE9" w:rsidRDefault="004C3CE9" w:rsidP="001054F7">
            <w:pPr>
              <w:pStyle w:val="TAC"/>
              <w:jc w:val="left"/>
              <w:rPr>
                <w:rFonts w:eastAsia="Arial Unicode MS"/>
              </w:rPr>
            </w:pPr>
            <w:r>
              <w:rPr>
                <w:rFonts w:eastAsia="Arial Unicode MS"/>
              </w:rPr>
              <w:t>2 RX, 1</w:t>
            </w:r>
            <w:r w:rsidR="007940BF">
              <w:rPr>
                <w:rFonts w:eastAsia="Arial Unicode MS"/>
              </w:rPr>
              <w:t>/2</w:t>
            </w:r>
            <w:r>
              <w:rPr>
                <w:rFonts w:eastAsia="Arial Unicode MS"/>
              </w:rPr>
              <w:t xml:space="preserve"> TX</w:t>
            </w:r>
          </w:p>
        </w:tc>
        <w:tc>
          <w:tcPr>
            <w:tcW w:w="3402" w:type="dxa"/>
          </w:tcPr>
          <w:p w14:paraId="2CCEC202" w14:textId="3971175B" w:rsidR="004C3CE9" w:rsidRDefault="004C3CE9" w:rsidP="001054F7">
            <w:pPr>
              <w:pStyle w:val="TAL"/>
              <w:keepNext w:val="0"/>
              <w:keepLines w:val="0"/>
              <w:widowControl w:val="0"/>
              <w:rPr>
                <w:rFonts w:eastAsia="Arial Unicode MS"/>
              </w:rPr>
            </w:pPr>
            <w:r>
              <w:rPr>
                <w:rFonts w:eastAsia="Arial Unicode MS"/>
              </w:rPr>
              <w:t>2 and 4 Rx ports (8 Rx ports as optional)</w:t>
            </w:r>
          </w:p>
        </w:tc>
      </w:tr>
      <w:tr w:rsidR="004C3CE9" w14:paraId="61179ABF" w14:textId="77777777" w:rsidTr="00FD465C">
        <w:tc>
          <w:tcPr>
            <w:tcW w:w="2533" w:type="dxa"/>
          </w:tcPr>
          <w:p w14:paraId="5CF993F8" w14:textId="096EE64E" w:rsidR="004C3CE9" w:rsidRDefault="004C3CE9" w:rsidP="001054F7">
            <w:pPr>
              <w:pStyle w:val="TAC"/>
              <w:jc w:val="left"/>
              <w:rPr>
                <w:lang w:eastAsia="zh-CN"/>
              </w:rPr>
            </w:pPr>
            <w:r>
              <w:rPr>
                <w:lang w:eastAsia="zh-CN"/>
              </w:rPr>
              <w:t>UE antenna elements</w:t>
            </w:r>
          </w:p>
        </w:tc>
        <w:tc>
          <w:tcPr>
            <w:tcW w:w="3558" w:type="dxa"/>
          </w:tcPr>
          <w:p w14:paraId="6DAE6F93" w14:textId="65C3BA2A" w:rsidR="004C3CE9" w:rsidRDefault="004C3CE9" w:rsidP="001054F7">
            <w:pPr>
              <w:pStyle w:val="TAC"/>
              <w:ind w:left="720" w:hanging="720"/>
              <w:jc w:val="left"/>
              <w:rPr>
                <w:rFonts w:eastAsia="Arial Unicode MS"/>
              </w:rPr>
            </w:pPr>
            <w:r>
              <w:rPr>
                <w:rFonts w:eastAsia="Arial Unicode MS"/>
              </w:rPr>
              <w:t>1 RX, 1 TX</w:t>
            </w:r>
          </w:p>
        </w:tc>
        <w:tc>
          <w:tcPr>
            <w:tcW w:w="3402" w:type="dxa"/>
          </w:tcPr>
          <w:p w14:paraId="57FB5C7A" w14:textId="258AA7F0" w:rsidR="004C3CE9" w:rsidRDefault="004C3CE9" w:rsidP="001054F7">
            <w:pPr>
              <w:pStyle w:val="TAL"/>
              <w:keepNext w:val="0"/>
              <w:keepLines w:val="0"/>
              <w:widowControl w:val="0"/>
              <w:rPr>
                <w:rFonts w:eastAsia="Arial Unicode MS"/>
              </w:rPr>
            </w:pPr>
            <w:r>
              <w:rPr>
                <w:rFonts w:eastAsia="Arial Unicode MS"/>
              </w:rPr>
              <w:t>1Tx</w:t>
            </w:r>
          </w:p>
        </w:tc>
      </w:tr>
      <w:tr w:rsidR="00FD465C" w14:paraId="08B0EBA8" w14:textId="77777777" w:rsidTr="00FD465C">
        <w:tc>
          <w:tcPr>
            <w:tcW w:w="2533" w:type="dxa"/>
          </w:tcPr>
          <w:p w14:paraId="6368B2D0" w14:textId="74FC666B" w:rsidR="00FD465C" w:rsidRPr="00431643" w:rsidRDefault="00FD465C" w:rsidP="001054F7">
            <w:pPr>
              <w:pStyle w:val="TAC"/>
              <w:jc w:val="left"/>
              <w:rPr>
                <w:lang w:val="en-US"/>
              </w:rPr>
            </w:pPr>
            <w:r>
              <w:rPr>
                <w:lang w:val="en-US"/>
              </w:rPr>
              <w:t>Propagation condition</w:t>
            </w:r>
          </w:p>
        </w:tc>
        <w:tc>
          <w:tcPr>
            <w:tcW w:w="3558" w:type="dxa"/>
          </w:tcPr>
          <w:p w14:paraId="42A0B4F2" w14:textId="1AC67305" w:rsidR="00FD465C" w:rsidRPr="00431643" w:rsidRDefault="00FD465C" w:rsidP="001054F7">
            <w:pPr>
              <w:pStyle w:val="TAC"/>
              <w:jc w:val="left"/>
              <w:rPr>
                <w:lang w:val="en-US"/>
              </w:rPr>
            </w:pPr>
            <w:r>
              <w:rPr>
                <w:lang w:val="en-US"/>
              </w:rPr>
              <w:t>Typical Urban (TU)</w:t>
            </w:r>
          </w:p>
        </w:tc>
        <w:tc>
          <w:tcPr>
            <w:tcW w:w="3402" w:type="dxa"/>
          </w:tcPr>
          <w:p w14:paraId="2A4A8A85" w14:textId="784B82E2" w:rsidR="00FD465C" w:rsidRPr="00431643" w:rsidRDefault="00FD465C" w:rsidP="001054F7">
            <w:pPr>
              <w:pStyle w:val="TAC"/>
              <w:jc w:val="left"/>
              <w:rPr>
                <w:lang w:val="en-US"/>
              </w:rPr>
            </w:pPr>
            <w:r>
              <w:rPr>
                <w:lang w:val="en-US"/>
              </w:rPr>
              <w:t>-</w:t>
            </w:r>
          </w:p>
        </w:tc>
      </w:tr>
      <w:tr w:rsidR="00FD465C" w14:paraId="048A64BD" w14:textId="77777777" w:rsidTr="00FD465C">
        <w:tc>
          <w:tcPr>
            <w:tcW w:w="2533" w:type="dxa"/>
          </w:tcPr>
          <w:p w14:paraId="064D4F9F" w14:textId="11F20FF5" w:rsidR="00FD465C" w:rsidRPr="00431643" w:rsidRDefault="00FD465C" w:rsidP="001054F7">
            <w:pPr>
              <w:pStyle w:val="TAC"/>
              <w:jc w:val="left"/>
              <w:rPr>
                <w:lang w:val="en-US"/>
              </w:rPr>
            </w:pPr>
            <w:r>
              <w:rPr>
                <w:lang w:val="en-US"/>
              </w:rPr>
              <w:t xml:space="preserve">Fading </w:t>
            </w:r>
          </w:p>
        </w:tc>
        <w:tc>
          <w:tcPr>
            <w:tcW w:w="3558" w:type="dxa"/>
          </w:tcPr>
          <w:p w14:paraId="5EF43417" w14:textId="4A373A5E" w:rsidR="00FD465C" w:rsidRPr="00431643" w:rsidRDefault="00FD465C" w:rsidP="001054F7">
            <w:pPr>
              <w:pStyle w:val="TAC"/>
              <w:jc w:val="left"/>
              <w:rPr>
                <w:lang w:val="en-US"/>
              </w:rPr>
            </w:pPr>
            <w:r>
              <w:rPr>
                <w:lang w:val="en-US"/>
              </w:rPr>
              <w:t>Rayleigh, 1 Hz</w:t>
            </w:r>
          </w:p>
        </w:tc>
        <w:tc>
          <w:tcPr>
            <w:tcW w:w="3402" w:type="dxa"/>
          </w:tcPr>
          <w:p w14:paraId="597F526F" w14:textId="1D315E4C" w:rsidR="00FD465C" w:rsidRPr="00431643" w:rsidRDefault="00FD465C" w:rsidP="001054F7">
            <w:pPr>
              <w:pStyle w:val="TAC"/>
              <w:jc w:val="left"/>
              <w:rPr>
                <w:lang w:val="en-US"/>
              </w:rPr>
            </w:pPr>
            <w:r>
              <w:rPr>
                <w:lang w:val="en-US"/>
              </w:rPr>
              <w:t>-</w:t>
            </w:r>
          </w:p>
        </w:tc>
      </w:tr>
      <w:tr w:rsidR="00FD465C" w14:paraId="5209BB89" w14:textId="77777777" w:rsidTr="00FD465C">
        <w:tc>
          <w:tcPr>
            <w:tcW w:w="2533" w:type="dxa"/>
          </w:tcPr>
          <w:p w14:paraId="4C47562A" w14:textId="0E5AF1DD" w:rsidR="00FD465C" w:rsidRPr="00431643" w:rsidRDefault="00FD465C" w:rsidP="001054F7">
            <w:pPr>
              <w:pStyle w:val="TAC"/>
              <w:jc w:val="left"/>
              <w:rPr>
                <w:lang w:val="en-US"/>
              </w:rPr>
            </w:pPr>
            <w:r>
              <w:rPr>
                <w:lang w:val="en-US"/>
              </w:rPr>
              <w:t>Mobile NF</w:t>
            </w:r>
          </w:p>
        </w:tc>
        <w:tc>
          <w:tcPr>
            <w:tcW w:w="3558" w:type="dxa"/>
          </w:tcPr>
          <w:p w14:paraId="67C1693D" w14:textId="3338BCC8" w:rsidR="00FD465C" w:rsidRPr="00431643" w:rsidRDefault="00FD465C" w:rsidP="001054F7">
            <w:pPr>
              <w:pStyle w:val="TAC"/>
              <w:jc w:val="left"/>
              <w:rPr>
                <w:lang w:val="en-US"/>
              </w:rPr>
            </w:pPr>
            <w:r>
              <w:rPr>
                <w:lang w:val="en-US"/>
              </w:rPr>
              <w:t>5 dB</w:t>
            </w:r>
          </w:p>
        </w:tc>
        <w:tc>
          <w:tcPr>
            <w:tcW w:w="3402" w:type="dxa"/>
          </w:tcPr>
          <w:p w14:paraId="01EF3D27" w14:textId="2A008CCC" w:rsidR="00FD465C" w:rsidRPr="00431643" w:rsidRDefault="007F7ACD" w:rsidP="001054F7">
            <w:pPr>
              <w:pStyle w:val="TAC"/>
              <w:jc w:val="left"/>
              <w:rPr>
                <w:lang w:val="en-US"/>
              </w:rPr>
            </w:pPr>
            <w:r>
              <w:rPr>
                <w:lang w:val="en-US"/>
              </w:rPr>
              <w:t>9</w:t>
            </w:r>
            <w:r w:rsidR="00FD465C">
              <w:rPr>
                <w:lang w:val="en-US"/>
              </w:rPr>
              <w:t xml:space="preserve"> dB</w:t>
            </w:r>
          </w:p>
        </w:tc>
      </w:tr>
      <w:tr w:rsidR="00FD465C" w14:paraId="014D8ECA" w14:textId="77777777" w:rsidTr="00FD465C">
        <w:tc>
          <w:tcPr>
            <w:tcW w:w="2533" w:type="dxa"/>
          </w:tcPr>
          <w:p w14:paraId="5A6C63B7" w14:textId="51FD662E" w:rsidR="00FD465C" w:rsidRPr="00431643" w:rsidRDefault="00FD465C" w:rsidP="001054F7">
            <w:pPr>
              <w:pStyle w:val="TAC"/>
              <w:jc w:val="left"/>
              <w:rPr>
                <w:lang w:val="en-US"/>
              </w:rPr>
            </w:pPr>
            <w:r>
              <w:rPr>
                <w:lang w:val="en-US"/>
              </w:rPr>
              <w:t>Base station NF</w:t>
            </w:r>
          </w:p>
        </w:tc>
        <w:tc>
          <w:tcPr>
            <w:tcW w:w="3558" w:type="dxa"/>
          </w:tcPr>
          <w:p w14:paraId="0B3A585F" w14:textId="7A60B9D3" w:rsidR="00FD465C" w:rsidRPr="00431643" w:rsidRDefault="00FD465C" w:rsidP="001054F7">
            <w:pPr>
              <w:pStyle w:val="TAC"/>
              <w:jc w:val="left"/>
              <w:rPr>
                <w:lang w:val="en-US"/>
              </w:rPr>
            </w:pPr>
            <w:r>
              <w:rPr>
                <w:lang w:val="en-US"/>
              </w:rPr>
              <w:t>3 dB</w:t>
            </w:r>
          </w:p>
        </w:tc>
        <w:tc>
          <w:tcPr>
            <w:tcW w:w="3402" w:type="dxa"/>
          </w:tcPr>
          <w:p w14:paraId="585CF5C6" w14:textId="0F1E69A8" w:rsidR="00FD465C" w:rsidRPr="00431643" w:rsidRDefault="007F7ACD" w:rsidP="001054F7">
            <w:pPr>
              <w:pStyle w:val="TAC"/>
              <w:jc w:val="left"/>
              <w:rPr>
                <w:lang w:val="en-US"/>
              </w:rPr>
            </w:pPr>
            <w:r>
              <w:rPr>
                <w:lang w:val="en-US"/>
              </w:rPr>
              <w:t>5</w:t>
            </w:r>
            <w:r w:rsidR="00FD465C">
              <w:rPr>
                <w:lang w:val="en-US"/>
              </w:rPr>
              <w:t xml:space="preserve"> dB</w:t>
            </w:r>
          </w:p>
        </w:tc>
      </w:tr>
      <w:tr w:rsidR="00FD465C" w14:paraId="5BEBD929" w14:textId="77777777" w:rsidTr="00FD465C">
        <w:tc>
          <w:tcPr>
            <w:tcW w:w="2533" w:type="dxa"/>
          </w:tcPr>
          <w:p w14:paraId="176B9767" w14:textId="671158AC" w:rsidR="00FD465C" w:rsidRPr="00431643" w:rsidRDefault="00FD465C" w:rsidP="001054F7">
            <w:pPr>
              <w:pStyle w:val="TAC"/>
              <w:jc w:val="left"/>
              <w:rPr>
                <w:lang w:val="en-US"/>
              </w:rPr>
            </w:pPr>
            <w:r>
              <w:rPr>
                <w:lang w:val="en-US"/>
              </w:rPr>
              <w:t>Device power class</w:t>
            </w:r>
          </w:p>
        </w:tc>
        <w:tc>
          <w:tcPr>
            <w:tcW w:w="3558" w:type="dxa"/>
          </w:tcPr>
          <w:p w14:paraId="159C10DB" w14:textId="3DDDC463" w:rsidR="00FD465C" w:rsidRPr="00431643" w:rsidRDefault="00FD465C" w:rsidP="001054F7">
            <w:pPr>
              <w:pStyle w:val="TAC"/>
              <w:jc w:val="left"/>
              <w:rPr>
                <w:lang w:val="en-US"/>
              </w:rPr>
            </w:pPr>
            <w:r>
              <w:rPr>
                <w:lang w:val="en-US"/>
              </w:rPr>
              <w:t>Declared</w:t>
            </w:r>
          </w:p>
        </w:tc>
        <w:tc>
          <w:tcPr>
            <w:tcW w:w="3402" w:type="dxa"/>
          </w:tcPr>
          <w:p w14:paraId="1F3F56A6" w14:textId="217EDB7E" w:rsidR="00FD465C" w:rsidRPr="00431643" w:rsidRDefault="00FD465C" w:rsidP="001054F7">
            <w:pPr>
              <w:pStyle w:val="TAC"/>
              <w:jc w:val="left"/>
              <w:rPr>
                <w:lang w:val="en-US"/>
              </w:rPr>
            </w:pPr>
            <w:r>
              <w:rPr>
                <w:lang w:val="en-US"/>
              </w:rPr>
              <w:t>23 dBm</w:t>
            </w:r>
          </w:p>
        </w:tc>
      </w:tr>
      <w:tr w:rsidR="00FD465C" w14:paraId="2E4834C6" w14:textId="77777777" w:rsidTr="00FD465C">
        <w:tc>
          <w:tcPr>
            <w:tcW w:w="2533" w:type="dxa"/>
          </w:tcPr>
          <w:p w14:paraId="01F6DA98" w14:textId="6764717B" w:rsidR="00FD465C" w:rsidRPr="00431643" w:rsidRDefault="00FD465C" w:rsidP="001054F7">
            <w:pPr>
              <w:pStyle w:val="TAC"/>
              <w:jc w:val="left"/>
              <w:rPr>
                <w:lang w:val="en-US"/>
              </w:rPr>
            </w:pPr>
            <w:r>
              <w:rPr>
                <w:lang w:val="en-US"/>
              </w:rPr>
              <w:t>Base station power class</w:t>
            </w:r>
          </w:p>
        </w:tc>
        <w:tc>
          <w:tcPr>
            <w:tcW w:w="3558" w:type="dxa"/>
          </w:tcPr>
          <w:p w14:paraId="762CA92B" w14:textId="77F22D35" w:rsidR="00FD465C" w:rsidRPr="00431643" w:rsidRDefault="00FD465C" w:rsidP="001054F7">
            <w:pPr>
              <w:pStyle w:val="TAC"/>
              <w:jc w:val="left"/>
              <w:rPr>
                <w:lang w:val="en-US"/>
              </w:rPr>
            </w:pPr>
            <w:r>
              <w:rPr>
                <w:lang w:val="en-US"/>
              </w:rPr>
              <w:t>43</w:t>
            </w:r>
            <w:r w:rsidR="007940BF">
              <w:rPr>
                <w:lang w:val="en-US"/>
              </w:rPr>
              <w:t>, 46</w:t>
            </w:r>
            <w:r>
              <w:rPr>
                <w:lang w:val="en-US"/>
              </w:rPr>
              <w:t xml:space="preserve"> dBm</w:t>
            </w:r>
          </w:p>
        </w:tc>
        <w:tc>
          <w:tcPr>
            <w:tcW w:w="3402" w:type="dxa"/>
          </w:tcPr>
          <w:p w14:paraId="2A62E06B" w14:textId="012CC373" w:rsidR="00FD465C" w:rsidRPr="00431643" w:rsidRDefault="00FD465C" w:rsidP="001054F7">
            <w:pPr>
              <w:pStyle w:val="TAC"/>
              <w:jc w:val="left"/>
              <w:rPr>
                <w:lang w:val="en-US"/>
              </w:rPr>
            </w:pPr>
            <w:r>
              <w:rPr>
                <w:lang w:val="en-US"/>
              </w:rPr>
              <w:t>46 dBm</w:t>
            </w:r>
          </w:p>
        </w:tc>
      </w:tr>
    </w:tbl>
    <w:p w14:paraId="09948749" w14:textId="0AC04AC5" w:rsidR="00087626" w:rsidRDefault="00087626" w:rsidP="00FD5C9F">
      <w:pPr>
        <w:tabs>
          <w:tab w:val="left" w:pos="5245"/>
        </w:tabs>
        <w:rPr>
          <w:rFonts w:ascii="Arial" w:hAnsi="Arial" w:cs="Arial"/>
          <w:b/>
        </w:rPr>
      </w:pPr>
    </w:p>
    <w:p w14:paraId="6F7BCF37" w14:textId="4AD0938F" w:rsidR="006B6A7A" w:rsidRPr="003A7C3F" w:rsidRDefault="006B6A7A" w:rsidP="006B6A7A">
      <w:pPr>
        <w:tabs>
          <w:tab w:val="left" w:pos="5245"/>
        </w:tabs>
        <w:rPr>
          <w:rFonts w:ascii="Arial" w:hAnsi="Arial" w:cs="Arial"/>
          <w:b/>
          <w:sz w:val="20"/>
        </w:rPr>
      </w:pPr>
      <w:r w:rsidRPr="003A7C3F">
        <w:rPr>
          <w:rFonts w:ascii="Arial" w:hAnsi="Arial" w:cs="Arial"/>
          <w:b/>
          <w:sz w:val="20"/>
        </w:rPr>
        <w:t xml:space="preserve">Proposal </w:t>
      </w:r>
      <w:r w:rsidR="0062504A">
        <w:rPr>
          <w:rFonts w:ascii="Arial" w:hAnsi="Arial" w:cs="Arial"/>
          <w:b/>
          <w:sz w:val="20"/>
        </w:rPr>
        <w:t>6:</w:t>
      </w:r>
      <w:r w:rsidRPr="003A7C3F">
        <w:rPr>
          <w:rFonts w:ascii="Arial" w:hAnsi="Arial" w:cs="Arial"/>
          <w:b/>
          <w:sz w:val="20"/>
        </w:rPr>
        <w:t xml:space="preserve"> A common agreement on the parameters listed in </w:t>
      </w:r>
      <w:r w:rsidRPr="003A7C3F">
        <w:rPr>
          <w:rFonts w:ascii="Arial" w:hAnsi="Arial" w:cs="Arial"/>
          <w:b/>
          <w:sz w:val="20"/>
        </w:rPr>
        <w:fldChar w:fldCharType="begin"/>
      </w:r>
      <w:r w:rsidRPr="003A7C3F">
        <w:rPr>
          <w:rFonts w:ascii="Arial" w:hAnsi="Arial" w:cs="Arial"/>
          <w:b/>
          <w:sz w:val="20"/>
        </w:rPr>
        <w:instrText xml:space="preserve"> REF _Ref471304401 \h  \* MERGEFORMAT </w:instrText>
      </w:r>
      <w:r w:rsidRPr="003A7C3F">
        <w:rPr>
          <w:rFonts w:ascii="Arial" w:hAnsi="Arial" w:cs="Arial"/>
          <w:b/>
          <w:sz w:val="20"/>
        </w:rPr>
      </w:r>
      <w:r w:rsidRPr="003A7C3F">
        <w:rPr>
          <w:rFonts w:ascii="Arial" w:hAnsi="Arial" w:cs="Arial"/>
          <w:b/>
          <w:sz w:val="20"/>
        </w:rPr>
        <w:fldChar w:fldCharType="separate"/>
      </w:r>
      <w:r w:rsidR="00140E5C" w:rsidRPr="00465AC4">
        <w:rPr>
          <w:rFonts w:ascii="Arial" w:hAnsi="Arial" w:cs="Arial"/>
          <w:b/>
          <w:sz w:val="20"/>
        </w:rPr>
        <w:t>Table 5</w:t>
      </w:r>
      <w:r w:rsidRPr="003A7C3F">
        <w:rPr>
          <w:rFonts w:ascii="Arial" w:hAnsi="Arial" w:cs="Arial"/>
          <w:b/>
          <w:sz w:val="20"/>
        </w:rPr>
        <w:fldChar w:fldCharType="end"/>
      </w:r>
      <w:r w:rsidRPr="003A7C3F">
        <w:rPr>
          <w:rFonts w:ascii="Arial" w:hAnsi="Arial" w:cs="Arial"/>
          <w:b/>
          <w:sz w:val="20"/>
        </w:rPr>
        <w:t xml:space="preserve"> is needed. The actual values </w:t>
      </w:r>
      <w:r w:rsidR="00E47E5A">
        <w:rPr>
          <w:rFonts w:ascii="Arial" w:hAnsi="Arial" w:cs="Arial"/>
          <w:b/>
          <w:sz w:val="20"/>
        </w:rPr>
        <w:t xml:space="preserve">used in the self-evaluations </w:t>
      </w:r>
      <w:r w:rsidRPr="003A7C3F">
        <w:rPr>
          <w:rFonts w:ascii="Arial" w:hAnsi="Arial" w:cs="Arial"/>
          <w:b/>
          <w:sz w:val="20"/>
        </w:rPr>
        <w:t>can be selected among the data found in TR 45.820 and TR 38.913.</w:t>
      </w:r>
    </w:p>
    <w:p w14:paraId="0E012443" w14:textId="77777777" w:rsidR="00431643" w:rsidRPr="00602FB6" w:rsidRDefault="00431643" w:rsidP="00FD5C9F">
      <w:pPr>
        <w:tabs>
          <w:tab w:val="left" w:pos="5245"/>
        </w:tabs>
        <w:rPr>
          <w:rFonts w:ascii="Arial" w:hAnsi="Arial" w:cs="Arial"/>
          <w:b/>
        </w:rPr>
      </w:pPr>
    </w:p>
    <w:p w14:paraId="33829E76" w14:textId="3BEED0DC" w:rsidR="006160CA" w:rsidRDefault="006B6A7A" w:rsidP="006160CA">
      <w:pPr>
        <w:pStyle w:val="Heading1"/>
      </w:pPr>
      <w:r>
        <w:t>Example: NB-IoT</w:t>
      </w:r>
      <w:r w:rsidR="00230FDD">
        <w:t xml:space="preserve"> </w:t>
      </w:r>
      <w:r w:rsidR="00DF6666">
        <w:t>&amp; eMTC</w:t>
      </w:r>
    </w:p>
    <w:p w14:paraId="1949C65A" w14:textId="77777777" w:rsidR="00230FDD" w:rsidRDefault="00230FDD" w:rsidP="00230FDD">
      <w:pPr>
        <w:pStyle w:val="Heading2"/>
        <w:numPr>
          <w:ilvl w:val="1"/>
          <w:numId w:val="49"/>
        </w:numPr>
        <w:textAlignment w:val="auto"/>
      </w:pPr>
      <w:r>
        <w:t>Evaluation assumptions</w:t>
      </w:r>
    </w:p>
    <w:p w14:paraId="44CD07C8" w14:textId="1F4D1658" w:rsidR="00230FDD" w:rsidRDefault="00230FDD" w:rsidP="00230FDD">
      <w:pPr>
        <w:rPr>
          <w:rFonts w:ascii="Arial" w:hAnsi="Arial" w:cs="Arial"/>
          <w:sz w:val="20"/>
        </w:rPr>
      </w:pPr>
      <w:r w:rsidRPr="00DF6666">
        <w:rPr>
          <w:rFonts w:ascii="Arial" w:hAnsi="Arial" w:cs="Arial"/>
          <w:sz w:val="20"/>
        </w:rPr>
        <w:fldChar w:fldCharType="begin"/>
      </w:r>
      <w:r w:rsidRPr="00DF6666">
        <w:rPr>
          <w:rFonts w:ascii="Arial" w:hAnsi="Arial" w:cs="Arial"/>
          <w:sz w:val="20"/>
        </w:rPr>
        <w:instrText xml:space="preserve"> REF _Ref474693967 \h </w:instrText>
      </w:r>
      <w:r w:rsidR="00DF6666">
        <w:rPr>
          <w:rFonts w:ascii="Arial" w:hAnsi="Arial" w:cs="Arial"/>
          <w:sz w:val="20"/>
        </w:rPr>
        <w:instrText xml:space="preserve"> \* MERGEFORMAT </w:instrText>
      </w:r>
      <w:r w:rsidRPr="00DF6666">
        <w:rPr>
          <w:rFonts w:ascii="Arial" w:hAnsi="Arial" w:cs="Arial"/>
          <w:sz w:val="20"/>
        </w:rPr>
      </w:r>
      <w:r w:rsidRPr="00DF6666">
        <w:rPr>
          <w:rFonts w:ascii="Arial" w:hAnsi="Arial" w:cs="Arial"/>
          <w:sz w:val="20"/>
        </w:rPr>
        <w:fldChar w:fldCharType="separate"/>
      </w:r>
      <w:r w:rsidR="00140E5C">
        <w:rPr>
          <w:rFonts w:ascii="Arial" w:hAnsi="Arial" w:cs="Arial"/>
          <w:sz w:val="20"/>
        </w:rPr>
        <w:t>Table 6</w:t>
      </w:r>
      <w:r w:rsidRPr="00DF6666">
        <w:rPr>
          <w:rFonts w:ascii="Arial" w:hAnsi="Arial" w:cs="Arial"/>
          <w:sz w:val="20"/>
        </w:rPr>
        <w:fldChar w:fldCharType="end"/>
      </w:r>
      <w:r w:rsidRPr="00DF6666">
        <w:rPr>
          <w:rFonts w:ascii="Arial" w:hAnsi="Arial" w:cs="Arial"/>
          <w:sz w:val="20"/>
        </w:rPr>
        <w:t xml:space="preserve"> </w:t>
      </w:r>
      <w:r w:rsidR="00DF6666" w:rsidRPr="00DF6666">
        <w:rPr>
          <w:rFonts w:ascii="Arial" w:hAnsi="Arial" w:cs="Arial"/>
          <w:sz w:val="20"/>
        </w:rPr>
        <w:t xml:space="preserve">lists the assumptions used for initial evaluations of NB-IoT and eMTC </w:t>
      </w:r>
      <w:r w:rsidR="000311D9">
        <w:rPr>
          <w:rFonts w:ascii="Arial" w:hAnsi="Arial" w:cs="Arial"/>
          <w:sz w:val="20"/>
        </w:rPr>
        <w:t xml:space="preserve">connection density </w:t>
      </w:r>
      <w:r w:rsidR="00DF6666">
        <w:rPr>
          <w:rFonts w:ascii="Arial" w:hAnsi="Arial" w:cs="Arial"/>
          <w:sz w:val="20"/>
        </w:rPr>
        <w:t xml:space="preserve">following the proposals described in the previous chapter. </w:t>
      </w:r>
      <w:r w:rsidR="002F179F">
        <w:rPr>
          <w:rFonts w:ascii="Arial" w:hAnsi="Arial" w:cs="Arial"/>
          <w:sz w:val="20"/>
        </w:rPr>
        <w:t>In addition to th</w:t>
      </w:r>
      <w:r w:rsidR="007F7ACD">
        <w:rPr>
          <w:rFonts w:ascii="Arial" w:hAnsi="Arial" w:cs="Arial"/>
          <w:sz w:val="20"/>
        </w:rPr>
        <w:t>e here listed</w:t>
      </w:r>
      <w:r w:rsidR="00604060">
        <w:rPr>
          <w:rFonts w:ascii="Arial" w:hAnsi="Arial" w:cs="Arial"/>
          <w:sz w:val="20"/>
        </w:rPr>
        <w:t xml:space="preserve"> parameters the proposals made in chapter </w:t>
      </w:r>
      <w:r w:rsidR="00604060">
        <w:rPr>
          <w:rFonts w:ascii="Arial" w:hAnsi="Arial" w:cs="Arial"/>
          <w:sz w:val="20"/>
        </w:rPr>
        <w:fldChar w:fldCharType="begin"/>
      </w:r>
      <w:r w:rsidR="00604060">
        <w:rPr>
          <w:rFonts w:ascii="Arial" w:hAnsi="Arial" w:cs="Arial"/>
          <w:sz w:val="20"/>
        </w:rPr>
        <w:instrText xml:space="preserve"> REF _Ref474694644 \r \h </w:instrText>
      </w:r>
      <w:r w:rsidR="00604060">
        <w:rPr>
          <w:rFonts w:ascii="Arial" w:hAnsi="Arial" w:cs="Arial"/>
          <w:sz w:val="20"/>
        </w:rPr>
      </w:r>
      <w:r w:rsidR="00604060">
        <w:rPr>
          <w:rFonts w:ascii="Arial" w:hAnsi="Arial" w:cs="Arial"/>
          <w:sz w:val="20"/>
        </w:rPr>
        <w:fldChar w:fldCharType="separate"/>
      </w:r>
      <w:r w:rsidR="00140E5C">
        <w:rPr>
          <w:rFonts w:ascii="Arial" w:hAnsi="Arial" w:cs="Arial"/>
          <w:sz w:val="20"/>
        </w:rPr>
        <w:t>2</w:t>
      </w:r>
      <w:r w:rsidR="00604060">
        <w:rPr>
          <w:rFonts w:ascii="Arial" w:hAnsi="Arial" w:cs="Arial"/>
          <w:sz w:val="20"/>
        </w:rPr>
        <w:fldChar w:fldCharType="end"/>
      </w:r>
      <w:r w:rsidR="00604060">
        <w:rPr>
          <w:rFonts w:ascii="Arial" w:hAnsi="Arial" w:cs="Arial"/>
          <w:sz w:val="20"/>
        </w:rPr>
        <w:t xml:space="preserve"> were followed.</w:t>
      </w:r>
    </w:p>
    <w:p w14:paraId="50BFBD42" w14:textId="18EAAECA" w:rsidR="00B62961" w:rsidRDefault="00B62961" w:rsidP="00230FDD">
      <w:pPr>
        <w:rPr>
          <w:rFonts w:ascii="Arial" w:hAnsi="Arial" w:cs="Arial"/>
          <w:sz w:val="20"/>
        </w:rPr>
      </w:pPr>
      <w:r>
        <w:rPr>
          <w:rFonts w:ascii="Arial" w:hAnsi="Arial" w:cs="Arial"/>
          <w:sz w:val="20"/>
        </w:rPr>
        <w:t xml:space="preserve">In this initial simulation it can be noted that the packet dropping timer was set to equal the simulation time, not to limit the connection density. </w:t>
      </w:r>
    </w:p>
    <w:p w14:paraId="7DD96D41" w14:textId="7E204227" w:rsidR="00691A1B" w:rsidRPr="00DF6666" w:rsidRDefault="00691A1B" w:rsidP="00230FDD">
      <w:pPr>
        <w:rPr>
          <w:rFonts w:ascii="Arial" w:hAnsi="Arial" w:cs="Arial"/>
          <w:sz w:val="20"/>
        </w:rPr>
      </w:pPr>
      <w:r>
        <w:rPr>
          <w:rFonts w:ascii="Arial" w:hAnsi="Arial" w:cs="Arial"/>
          <w:sz w:val="20"/>
        </w:rPr>
        <w:t xml:space="preserve">For eMTC the capacity was evaluated when the narrowband is configured </w:t>
      </w:r>
      <w:r w:rsidR="003858D1">
        <w:rPr>
          <w:rFonts w:ascii="Arial" w:hAnsi="Arial" w:cs="Arial"/>
          <w:sz w:val="20"/>
        </w:rPr>
        <w:t>outside of the 6 centre PRBs in the LTE carrier. For NB-IoT the capacity was assessed both for the anchor carrier and for non-anchor carriers.</w:t>
      </w:r>
    </w:p>
    <w:p w14:paraId="4196CA1A" w14:textId="1546E8E9" w:rsidR="00230FDD" w:rsidRDefault="00230FDD" w:rsidP="00230FDD">
      <w:pPr>
        <w:pStyle w:val="Caption"/>
        <w:keepNext/>
        <w:rPr>
          <w:rFonts w:ascii="Arial" w:hAnsi="Arial" w:cs="Arial"/>
          <w:sz w:val="20"/>
        </w:rPr>
      </w:pPr>
      <w:bookmarkStart w:id="10" w:name="_Ref474693967"/>
      <w:r>
        <w:rPr>
          <w:rFonts w:ascii="Arial" w:hAnsi="Arial" w:cs="Arial"/>
          <w:sz w:val="20"/>
        </w:rPr>
        <w:lastRenderedPageBreak/>
        <w:t xml:space="preserve">Table </w:t>
      </w:r>
      <w:r>
        <w:fldChar w:fldCharType="begin"/>
      </w:r>
      <w:r>
        <w:rPr>
          <w:rFonts w:ascii="Arial" w:hAnsi="Arial" w:cs="Arial"/>
          <w:sz w:val="20"/>
        </w:rPr>
        <w:instrText xml:space="preserve"> SEQ Table \* ARABIC </w:instrText>
      </w:r>
      <w:r>
        <w:fldChar w:fldCharType="separate"/>
      </w:r>
      <w:r w:rsidR="00140E5C">
        <w:rPr>
          <w:rFonts w:ascii="Arial" w:hAnsi="Arial" w:cs="Arial"/>
          <w:noProof/>
          <w:sz w:val="20"/>
        </w:rPr>
        <w:t>6</w:t>
      </w:r>
      <w:r>
        <w:fldChar w:fldCharType="end"/>
      </w:r>
      <w:bookmarkEnd w:id="10"/>
      <w:r>
        <w:rPr>
          <w:rFonts w:ascii="Arial" w:hAnsi="Arial" w:cs="Arial"/>
          <w:sz w:val="20"/>
        </w:rPr>
        <w:t xml:space="preserve"> Assumptions used to evaluate NB-IoT </w:t>
      </w:r>
      <w:r w:rsidR="002F179F">
        <w:rPr>
          <w:rFonts w:ascii="Arial" w:hAnsi="Arial" w:cs="Arial"/>
          <w:sz w:val="20"/>
        </w:rPr>
        <w:t>and eMTC connection density.</w:t>
      </w:r>
    </w:p>
    <w:tbl>
      <w:tblPr>
        <w:tblStyle w:val="TableGrid"/>
        <w:tblW w:w="0" w:type="auto"/>
        <w:tblLook w:val="04A0" w:firstRow="1" w:lastRow="0" w:firstColumn="1" w:lastColumn="0" w:noHBand="0" w:noVBand="1"/>
      </w:tblPr>
      <w:tblGrid>
        <w:gridCol w:w="4814"/>
        <w:gridCol w:w="4815"/>
      </w:tblGrid>
      <w:tr w:rsidR="00230FDD" w14:paraId="776C43E7" w14:textId="77777777" w:rsidTr="00230FDD">
        <w:tc>
          <w:tcPr>
            <w:tcW w:w="9629" w:type="dxa"/>
            <w:gridSpan w:val="2"/>
            <w:tcBorders>
              <w:top w:val="single" w:sz="4" w:space="0" w:color="auto"/>
              <w:left w:val="single" w:sz="4" w:space="0" w:color="auto"/>
              <w:bottom w:val="single" w:sz="4" w:space="0" w:color="auto"/>
              <w:right w:val="single" w:sz="4" w:space="0" w:color="auto"/>
            </w:tcBorders>
            <w:hideMark/>
          </w:tcPr>
          <w:p w14:paraId="50D43118" w14:textId="60CE0ABB" w:rsidR="00230FDD" w:rsidRDefault="00230FDD">
            <w:pPr>
              <w:pStyle w:val="TAH"/>
              <w:overflowPunct w:val="0"/>
              <w:autoSpaceDE w:val="0"/>
              <w:autoSpaceDN w:val="0"/>
              <w:adjustRightInd w:val="0"/>
              <w:rPr>
                <w:rFonts w:cs="Arial"/>
              </w:rPr>
            </w:pPr>
            <w:r>
              <w:rPr>
                <w:lang w:val="en-US"/>
              </w:rPr>
              <w:t xml:space="preserve">Protocol </w:t>
            </w:r>
            <w:r w:rsidR="00A25001">
              <w:rPr>
                <w:lang w:val="en-US"/>
              </w:rPr>
              <w:t>layer</w:t>
            </w:r>
            <w:r w:rsidR="000843A5">
              <w:rPr>
                <w:lang w:val="en-US"/>
              </w:rPr>
              <w:t xml:space="preserve"> parameters</w:t>
            </w:r>
          </w:p>
        </w:tc>
      </w:tr>
      <w:tr w:rsidR="00230FDD" w14:paraId="13195D28" w14:textId="77777777" w:rsidTr="00230FDD">
        <w:tc>
          <w:tcPr>
            <w:tcW w:w="4814" w:type="dxa"/>
            <w:tcBorders>
              <w:top w:val="single" w:sz="4" w:space="0" w:color="auto"/>
              <w:left w:val="single" w:sz="4" w:space="0" w:color="auto"/>
              <w:bottom w:val="single" w:sz="4" w:space="0" w:color="auto"/>
              <w:right w:val="single" w:sz="4" w:space="0" w:color="auto"/>
            </w:tcBorders>
            <w:hideMark/>
          </w:tcPr>
          <w:p w14:paraId="0F75DB20" w14:textId="77777777" w:rsidR="00230FDD" w:rsidRDefault="00230FDD">
            <w:pPr>
              <w:pStyle w:val="TAC"/>
              <w:overflowPunct w:val="0"/>
              <w:autoSpaceDE w:val="0"/>
              <w:autoSpaceDN w:val="0"/>
              <w:adjustRightInd w:val="0"/>
              <w:rPr>
                <w:lang w:val="en-US"/>
              </w:rPr>
            </w:pPr>
            <w:r>
              <w:rPr>
                <w:lang w:val="en-US"/>
              </w:rPr>
              <w:t>Higher layer procedure</w:t>
            </w:r>
          </w:p>
        </w:tc>
        <w:tc>
          <w:tcPr>
            <w:tcW w:w="4815" w:type="dxa"/>
            <w:tcBorders>
              <w:top w:val="single" w:sz="4" w:space="0" w:color="auto"/>
              <w:left w:val="single" w:sz="4" w:space="0" w:color="auto"/>
              <w:bottom w:val="single" w:sz="4" w:space="0" w:color="auto"/>
              <w:right w:val="single" w:sz="4" w:space="0" w:color="auto"/>
            </w:tcBorders>
            <w:hideMark/>
          </w:tcPr>
          <w:p w14:paraId="376404CF" w14:textId="77777777" w:rsidR="00230FDD" w:rsidRDefault="00230FDD">
            <w:pPr>
              <w:pStyle w:val="TAC"/>
              <w:overflowPunct w:val="0"/>
              <w:autoSpaceDE w:val="0"/>
              <w:autoSpaceDN w:val="0"/>
              <w:adjustRightInd w:val="0"/>
              <w:rPr>
                <w:lang w:val="en-US"/>
              </w:rPr>
            </w:pPr>
            <w:r>
              <w:rPr>
                <w:lang w:val="en-US"/>
              </w:rPr>
              <w:t>RRC Resume</w:t>
            </w:r>
          </w:p>
        </w:tc>
      </w:tr>
      <w:tr w:rsidR="0009158C" w14:paraId="495924A2" w14:textId="77777777" w:rsidTr="00230FDD">
        <w:tc>
          <w:tcPr>
            <w:tcW w:w="4814" w:type="dxa"/>
            <w:tcBorders>
              <w:top w:val="single" w:sz="4" w:space="0" w:color="auto"/>
              <w:left w:val="single" w:sz="4" w:space="0" w:color="auto"/>
              <w:bottom w:val="single" w:sz="4" w:space="0" w:color="auto"/>
              <w:right w:val="single" w:sz="4" w:space="0" w:color="auto"/>
            </w:tcBorders>
          </w:tcPr>
          <w:p w14:paraId="0CC6C29A" w14:textId="2AA8DDB1" w:rsidR="0009158C" w:rsidRDefault="0009158C">
            <w:pPr>
              <w:pStyle w:val="TAC"/>
              <w:overflowPunct w:val="0"/>
              <w:autoSpaceDE w:val="0"/>
              <w:autoSpaceDN w:val="0"/>
              <w:adjustRightInd w:val="0"/>
              <w:rPr>
                <w:lang w:val="en-US"/>
              </w:rPr>
            </w:pPr>
            <w:r>
              <w:rPr>
                <w:lang w:val="en-US"/>
              </w:rPr>
              <w:t>RLC mode</w:t>
            </w:r>
          </w:p>
        </w:tc>
        <w:tc>
          <w:tcPr>
            <w:tcW w:w="4815" w:type="dxa"/>
            <w:tcBorders>
              <w:top w:val="single" w:sz="4" w:space="0" w:color="auto"/>
              <w:left w:val="single" w:sz="4" w:space="0" w:color="auto"/>
              <w:bottom w:val="single" w:sz="4" w:space="0" w:color="auto"/>
              <w:right w:val="single" w:sz="4" w:space="0" w:color="auto"/>
            </w:tcBorders>
          </w:tcPr>
          <w:p w14:paraId="40243D86" w14:textId="5384B5C0" w:rsidR="0009158C" w:rsidRDefault="0009158C">
            <w:pPr>
              <w:pStyle w:val="TAC"/>
              <w:overflowPunct w:val="0"/>
              <w:autoSpaceDE w:val="0"/>
              <w:autoSpaceDN w:val="0"/>
              <w:adjustRightInd w:val="0"/>
              <w:rPr>
                <w:lang w:val="en-US"/>
              </w:rPr>
            </w:pPr>
            <w:r>
              <w:rPr>
                <w:lang w:val="en-US"/>
              </w:rPr>
              <w:t>Acknowledged</w:t>
            </w:r>
          </w:p>
        </w:tc>
      </w:tr>
      <w:tr w:rsidR="000843A5" w14:paraId="20E14797" w14:textId="77777777" w:rsidTr="00230FDD">
        <w:tc>
          <w:tcPr>
            <w:tcW w:w="4814" w:type="dxa"/>
            <w:tcBorders>
              <w:top w:val="single" w:sz="4" w:space="0" w:color="auto"/>
              <w:left w:val="single" w:sz="4" w:space="0" w:color="auto"/>
              <w:bottom w:val="single" w:sz="4" w:space="0" w:color="auto"/>
              <w:right w:val="single" w:sz="4" w:space="0" w:color="auto"/>
            </w:tcBorders>
          </w:tcPr>
          <w:p w14:paraId="7803A8B2" w14:textId="40F42506" w:rsidR="000843A5" w:rsidRDefault="000843A5">
            <w:pPr>
              <w:pStyle w:val="TAC"/>
              <w:overflowPunct w:val="0"/>
              <w:autoSpaceDE w:val="0"/>
              <w:autoSpaceDN w:val="0"/>
              <w:adjustRightInd w:val="0"/>
              <w:rPr>
                <w:lang w:val="en-US"/>
              </w:rPr>
            </w:pPr>
            <w:r>
              <w:rPr>
                <w:lang w:val="en-US"/>
              </w:rPr>
              <w:t>Packet dropping timer</w:t>
            </w:r>
          </w:p>
        </w:tc>
        <w:tc>
          <w:tcPr>
            <w:tcW w:w="4815" w:type="dxa"/>
            <w:tcBorders>
              <w:top w:val="single" w:sz="4" w:space="0" w:color="auto"/>
              <w:left w:val="single" w:sz="4" w:space="0" w:color="auto"/>
              <w:bottom w:val="single" w:sz="4" w:space="0" w:color="auto"/>
              <w:right w:val="single" w:sz="4" w:space="0" w:color="auto"/>
            </w:tcBorders>
          </w:tcPr>
          <w:p w14:paraId="3F6BAD39" w14:textId="2C5D5DC9" w:rsidR="000843A5" w:rsidRDefault="000843A5">
            <w:pPr>
              <w:pStyle w:val="TAC"/>
              <w:overflowPunct w:val="0"/>
              <w:autoSpaceDE w:val="0"/>
              <w:autoSpaceDN w:val="0"/>
              <w:adjustRightInd w:val="0"/>
              <w:rPr>
                <w:lang w:val="en-US"/>
              </w:rPr>
            </w:pPr>
            <w:r>
              <w:rPr>
                <w:lang w:val="en-US"/>
              </w:rPr>
              <w:t>120 s</w:t>
            </w:r>
          </w:p>
        </w:tc>
      </w:tr>
      <w:tr w:rsidR="00230FDD" w14:paraId="1C756769" w14:textId="77777777" w:rsidTr="00230FDD">
        <w:tc>
          <w:tcPr>
            <w:tcW w:w="9629" w:type="dxa"/>
            <w:gridSpan w:val="2"/>
            <w:tcBorders>
              <w:top w:val="single" w:sz="4" w:space="0" w:color="auto"/>
              <w:left w:val="single" w:sz="4" w:space="0" w:color="auto"/>
              <w:bottom w:val="single" w:sz="4" w:space="0" w:color="auto"/>
              <w:right w:val="single" w:sz="4" w:space="0" w:color="auto"/>
            </w:tcBorders>
            <w:hideMark/>
          </w:tcPr>
          <w:p w14:paraId="5BE28782" w14:textId="5B7E8B5D" w:rsidR="00230FDD" w:rsidRDefault="00230FDD">
            <w:pPr>
              <w:pStyle w:val="TAH"/>
              <w:overflowPunct w:val="0"/>
              <w:autoSpaceDE w:val="0"/>
              <w:autoSpaceDN w:val="0"/>
              <w:adjustRightInd w:val="0"/>
              <w:rPr>
                <w:rFonts w:cs="Arial"/>
              </w:rPr>
            </w:pPr>
            <w:r>
              <w:rPr>
                <w:lang w:val="en-US"/>
              </w:rPr>
              <w:t>Physical layer</w:t>
            </w:r>
            <w:r>
              <w:rPr>
                <w:rFonts w:cs="Arial"/>
              </w:rPr>
              <w:t xml:space="preserve"> </w:t>
            </w:r>
            <w:r w:rsidR="000843A5">
              <w:rPr>
                <w:lang w:val="en-US"/>
              </w:rPr>
              <w:t>parameters</w:t>
            </w:r>
          </w:p>
        </w:tc>
      </w:tr>
      <w:tr w:rsidR="00230FDD" w14:paraId="54BF17CD" w14:textId="77777777" w:rsidTr="00230FDD">
        <w:tc>
          <w:tcPr>
            <w:tcW w:w="4814" w:type="dxa"/>
            <w:tcBorders>
              <w:top w:val="single" w:sz="4" w:space="0" w:color="auto"/>
              <w:left w:val="single" w:sz="4" w:space="0" w:color="auto"/>
              <w:bottom w:val="single" w:sz="4" w:space="0" w:color="auto"/>
              <w:right w:val="single" w:sz="4" w:space="0" w:color="auto"/>
            </w:tcBorders>
            <w:hideMark/>
          </w:tcPr>
          <w:p w14:paraId="5F0CF12C" w14:textId="77777777" w:rsidR="00230FDD" w:rsidRDefault="00230FDD">
            <w:pPr>
              <w:pStyle w:val="TAC"/>
              <w:overflowPunct w:val="0"/>
              <w:autoSpaceDE w:val="0"/>
              <w:autoSpaceDN w:val="0"/>
              <w:adjustRightInd w:val="0"/>
              <w:rPr>
                <w:lang w:val="en-US"/>
              </w:rPr>
            </w:pPr>
            <w:r>
              <w:rPr>
                <w:lang w:val="en-US"/>
              </w:rPr>
              <w:t>Propagation condition</w:t>
            </w:r>
          </w:p>
        </w:tc>
        <w:tc>
          <w:tcPr>
            <w:tcW w:w="4815" w:type="dxa"/>
            <w:tcBorders>
              <w:top w:val="single" w:sz="4" w:space="0" w:color="auto"/>
              <w:left w:val="single" w:sz="4" w:space="0" w:color="auto"/>
              <w:bottom w:val="single" w:sz="4" w:space="0" w:color="auto"/>
              <w:right w:val="single" w:sz="4" w:space="0" w:color="auto"/>
            </w:tcBorders>
            <w:hideMark/>
          </w:tcPr>
          <w:p w14:paraId="0E8D1083" w14:textId="355CDD29" w:rsidR="00230FDD" w:rsidRDefault="00230FDD">
            <w:pPr>
              <w:pStyle w:val="TAC"/>
              <w:overflowPunct w:val="0"/>
              <w:autoSpaceDE w:val="0"/>
              <w:autoSpaceDN w:val="0"/>
              <w:adjustRightInd w:val="0"/>
              <w:rPr>
                <w:lang w:val="en-US"/>
              </w:rPr>
            </w:pPr>
            <w:r>
              <w:rPr>
                <w:lang w:val="en-US"/>
              </w:rPr>
              <w:t xml:space="preserve">Typical Urban (TU) </w:t>
            </w:r>
            <w:r>
              <w:rPr>
                <w:lang w:val="en-US"/>
              </w:rPr>
              <w:fldChar w:fldCharType="begin"/>
            </w:r>
            <w:r>
              <w:rPr>
                <w:lang w:val="en-US"/>
              </w:rPr>
              <w:instrText xml:space="preserve"> REF _Ref463001619 \r \h </w:instrText>
            </w:r>
            <w:r>
              <w:rPr>
                <w:lang w:val="en-US"/>
              </w:rPr>
            </w:r>
            <w:r>
              <w:rPr>
                <w:lang w:val="en-US"/>
              </w:rPr>
              <w:fldChar w:fldCharType="separate"/>
            </w:r>
            <w:r w:rsidR="00140E5C">
              <w:rPr>
                <w:lang w:val="en-US"/>
              </w:rPr>
              <w:t>[3]</w:t>
            </w:r>
            <w:r>
              <w:rPr>
                <w:lang w:val="en-US"/>
              </w:rPr>
              <w:fldChar w:fldCharType="end"/>
            </w:r>
          </w:p>
        </w:tc>
      </w:tr>
      <w:tr w:rsidR="00230FDD" w14:paraId="641DC90A" w14:textId="77777777" w:rsidTr="00230FDD">
        <w:tc>
          <w:tcPr>
            <w:tcW w:w="4814" w:type="dxa"/>
            <w:tcBorders>
              <w:top w:val="single" w:sz="4" w:space="0" w:color="auto"/>
              <w:left w:val="single" w:sz="4" w:space="0" w:color="auto"/>
              <w:bottom w:val="single" w:sz="4" w:space="0" w:color="auto"/>
              <w:right w:val="single" w:sz="4" w:space="0" w:color="auto"/>
            </w:tcBorders>
            <w:hideMark/>
          </w:tcPr>
          <w:p w14:paraId="420105BD" w14:textId="77777777" w:rsidR="00230FDD" w:rsidRDefault="00230FDD">
            <w:pPr>
              <w:pStyle w:val="TAC"/>
              <w:overflowPunct w:val="0"/>
              <w:autoSpaceDE w:val="0"/>
              <w:autoSpaceDN w:val="0"/>
              <w:adjustRightInd w:val="0"/>
              <w:rPr>
                <w:lang w:val="en-US"/>
              </w:rPr>
            </w:pPr>
            <w:r>
              <w:rPr>
                <w:lang w:val="en-US"/>
              </w:rPr>
              <w:t xml:space="preserve">Fading </w:t>
            </w:r>
          </w:p>
        </w:tc>
        <w:tc>
          <w:tcPr>
            <w:tcW w:w="4815" w:type="dxa"/>
            <w:tcBorders>
              <w:top w:val="single" w:sz="4" w:space="0" w:color="auto"/>
              <w:left w:val="single" w:sz="4" w:space="0" w:color="auto"/>
              <w:bottom w:val="single" w:sz="4" w:space="0" w:color="auto"/>
              <w:right w:val="single" w:sz="4" w:space="0" w:color="auto"/>
            </w:tcBorders>
            <w:hideMark/>
          </w:tcPr>
          <w:p w14:paraId="3C45FD93" w14:textId="18DBDFBC" w:rsidR="00230FDD" w:rsidRDefault="00230FDD">
            <w:pPr>
              <w:pStyle w:val="TAC"/>
              <w:overflowPunct w:val="0"/>
              <w:autoSpaceDE w:val="0"/>
              <w:autoSpaceDN w:val="0"/>
              <w:adjustRightInd w:val="0"/>
              <w:rPr>
                <w:lang w:val="en-US"/>
              </w:rPr>
            </w:pPr>
            <w:r>
              <w:rPr>
                <w:lang w:val="en-US"/>
              </w:rPr>
              <w:t xml:space="preserve">Rayleigh, 1 Hz </w:t>
            </w:r>
            <w:r>
              <w:rPr>
                <w:lang w:val="en-US"/>
              </w:rPr>
              <w:fldChar w:fldCharType="begin"/>
            </w:r>
            <w:r>
              <w:rPr>
                <w:lang w:val="en-US"/>
              </w:rPr>
              <w:instrText xml:space="preserve"> REF _Ref463001619 \r \h </w:instrText>
            </w:r>
            <w:r>
              <w:rPr>
                <w:lang w:val="en-US"/>
              </w:rPr>
            </w:r>
            <w:r>
              <w:rPr>
                <w:lang w:val="en-US"/>
              </w:rPr>
              <w:fldChar w:fldCharType="separate"/>
            </w:r>
            <w:r w:rsidR="00140E5C">
              <w:rPr>
                <w:lang w:val="en-US"/>
              </w:rPr>
              <w:t>[3]</w:t>
            </w:r>
            <w:r>
              <w:rPr>
                <w:lang w:val="en-US"/>
              </w:rPr>
              <w:fldChar w:fldCharType="end"/>
            </w:r>
          </w:p>
        </w:tc>
      </w:tr>
      <w:tr w:rsidR="00230FDD" w14:paraId="75179B90" w14:textId="77777777" w:rsidTr="00230FDD">
        <w:tc>
          <w:tcPr>
            <w:tcW w:w="4814" w:type="dxa"/>
            <w:tcBorders>
              <w:top w:val="single" w:sz="4" w:space="0" w:color="auto"/>
              <w:left w:val="single" w:sz="4" w:space="0" w:color="auto"/>
              <w:bottom w:val="single" w:sz="4" w:space="0" w:color="auto"/>
              <w:right w:val="single" w:sz="4" w:space="0" w:color="auto"/>
            </w:tcBorders>
            <w:hideMark/>
          </w:tcPr>
          <w:p w14:paraId="65B68043" w14:textId="77777777" w:rsidR="00230FDD" w:rsidRDefault="00230FDD">
            <w:pPr>
              <w:pStyle w:val="TAC"/>
              <w:overflowPunct w:val="0"/>
              <w:autoSpaceDE w:val="0"/>
              <w:autoSpaceDN w:val="0"/>
              <w:adjustRightInd w:val="0"/>
              <w:rPr>
                <w:lang w:val="en-US"/>
              </w:rPr>
            </w:pPr>
            <w:r>
              <w:rPr>
                <w:lang w:val="en-US"/>
              </w:rPr>
              <w:t>Mobile NF</w:t>
            </w:r>
          </w:p>
        </w:tc>
        <w:tc>
          <w:tcPr>
            <w:tcW w:w="4815" w:type="dxa"/>
            <w:tcBorders>
              <w:top w:val="single" w:sz="4" w:space="0" w:color="auto"/>
              <w:left w:val="single" w:sz="4" w:space="0" w:color="auto"/>
              <w:bottom w:val="single" w:sz="4" w:space="0" w:color="auto"/>
              <w:right w:val="single" w:sz="4" w:space="0" w:color="auto"/>
            </w:tcBorders>
            <w:hideMark/>
          </w:tcPr>
          <w:p w14:paraId="25637F4E" w14:textId="42C75E96" w:rsidR="00230FDD" w:rsidRDefault="00230FDD">
            <w:pPr>
              <w:pStyle w:val="TAC"/>
              <w:overflowPunct w:val="0"/>
              <w:autoSpaceDE w:val="0"/>
              <w:autoSpaceDN w:val="0"/>
              <w:adjustRightInd w:val="0"/>
              <w:rPr>
                <w:lang w:val="en-US"/>
              </w:rPr>
            </w:pPr>
            <w:r>
              <w:rPr>
                <w:lang w:val="en-US"/>
              </w:rPr>
              <w:t xml:space="preserve">5 dB </w:t>
            </w:r>
            <w:r>
              <w:rPr>
                <w:lang w:val="en-US"/>
              </w:rPr>
              <w:fldChar w:fldCharType="begin"/>
            </w:r>
            <w:r>
              <w:rPr>
                <w:lang w:val="en-US"/>
              </w:rPr>
              <w:instrText xml:space="preserve"> REF _Ref463001619 \r \h </w:instrText>
            </w:r>
            <w:r>
              <w:rPr>
                <w:lang w:val="en-US"/>
              </w:rPr>
            </w:r>
            <w:r>
              <w:rPr>
                <w:lang w:val="en-US"/>
              </w:rPr>
              <w:fldChar w:fldCharType="separate"/>
            </w:r>
            <w:r w:rsidR="00140E5C">
              <w:rPr>
                <w:lang w:val="en-US"/>
              </w:rPr>
              <w:t>[3]</w:t>
            </w:r>
            <w:r>
              <w:rPr>
                <w:lang w:val="en-US"/>
              </w:rPr>
              <w:fldChar w:fldCharType="end"/>
            </w:r>
          </w:p>
        </w:tc>
      </w:tr>
      <w:tr w:rsidR="00230FDD" w14:paraId="6FFB05B2" w14:textId="77777777" w:rsidTr="00230FDD">
        <w:tc>
          <w:tcPr>
            <w:tcW w:w="4814" w:type="dxa"/>
            <w:tcBorders>
              <w:top w:val="single" w:sz="4" w:space="0" w:color="auto"/>
              <w:left w:val="single" w:sz="4" w:space="0" w:color="auto"/>
              <w:bottom w:val="single" w:sz="4" w:space="0" w:color="auto"/>
              <w:right w:val="single" w:sz="4" w:space="0" w:color="auto"/>
            </w:tcBorders>
            <w:hideMark/>
          </w:tcPr>
          <w:p w14:paraId="25B7E76A" w14:textId="77777777" w:rsidR="00230FDD" w:rsidRDefault="00230FDD">
            <w:pPr>
              <w:pStyle w:val="TAC"/>
              <w:overflowPunct w:val="0"/>
              <w:autoSpaceDE w:val="0"/>
              <w:autoSpaceDN w:val="0"/>
              <w:adjustRightInd w:val="0"/>
              <w:rPr>
                <w:lang w:val="en-US"/>
              </w:rPr>
            </w:pPr>
            <w:r>
              <w:rPr>
                <w:lang w:val="en-US"/>
              </w:rPr>
              <w:t>Base station NF</w:t>
            </w:r>
          </w:p>
        </w:tc>
        <w:tc>
          <w:tcPr>
            <w:tcW w:w="4815" w:type="dxa"/>
            <w:tcBorders>
              <w:top w:val="single" w:sz="4" w:space="0" w:color="auto"/>
              <w:left w:val="single" w:sz="4" w:space="0" w:color="auto"/>
              <w:bottom w:val="single" w:sz="4" w:space="0" w:color="auto"/>
              <w:right w:val="single" w:sz="4" w:space="0" w:color="auto"/>
            </w:tcBorders>
            <w:hideMark/>
          </w:tcPr>
          <w:p w14:paraId="1B3589FA" w14:textId="751F6E84" w:rsidR="00230FDD" w:rsidRDefault="00230FDD">
            <w:pPr>
              <w:pStyle w:val="TAC"/>
              <w:overflowPunct w:val="0"/>
              <w:autoSpaceDE w:val="0"/>
              <w:autoSpaceDN w:val="0"/>
              <w:adjustRightInd w:val="0"/>
              <w:rPr>
                <w:lang w:val="en-US"/>
              </w:rPr>
            </w:pPr>
            <w:r>
              <w:rPr>
                <w:lang w:val="en-US"/>
              </w:rPr>
              <w:t xml:space="preserve">3 dB </w:t>
            </w:r>
            <w:r>
              <w:rPr>
                <w:lang w:val="en-US"/>
              </w:rPr>
              <w:fldChar w:fldCharType="begin"/>
            </w:r>
            <w:r>
              <w:rPr>
                <w:lang w:val="en-US"/>
              </w:rPr>
              <w:instrText xml:space="preserve"> REF _Ref463001619 \r \h </w:instrText>
            </w:r>
            <w:r>
              <w:rPr>
                <w:lang w:val="en-US"/>
              </w:rPr>
            </w:r>
            <w:r>
              <w:rPr>
                <w:lang w:val="en-US"/>
              </w:rPr>
              <w:fldChar w:fldCharType="separate"/>
            </w:r>
            <w:r w:rsidR="00140E5C">
              <w:rPr>
                <w:lang w:val="en-US"/>
              </w:rPr>
              <w:t>[3]</w:t>
            </w:r>
            <w:r>
              <w:rPr>
                <w:lang w:val="en-US"/>
              </w:rPr>
              <w:fldChar w:fldCharType="end"/>
            </w:r>
          </w:p>
        </w:tc>
      </w:tr>
      <w:tr w:rsidR="00230FDD" w14:paraId="36CFD495" w14:textId="77777777" w:rsidTr="00230FDD">
        <w:tc>
          <w:tcPr>
            <w:tcW w:w="4814" w:type="dxa"/>
            <w:tcBorders>
              <w:top w:val="single" w:sz="4" w:space="0" w:color="auto"/>
              <w:left w:val="single" w:sz="4" w:space="0" w:color="auto"/>
              <w:bottom w:val="single" w:sz="4" w:space="0" w:color="auto"/>
              <w:right w:val="single" w:sz="4" w:space="0" w:color="auto"/>
            </w:tcBorders>
            <w:hideMark/>
          </w:tcPr>
          <w:p w14:paraId="0C16819E" w14:textId="77777777" w:rsidR="00230FDD" w:rsidRDefault="00230FDD">
            <w:pPr>
              <w:pStyle w:val="TAC"/>
              <w:overflowPunct w:val="0"/>
              <w:autoSpaceDE w:val="0"/>
              <w:autoSpaceDN w:val="0"/>
              <w:adjustRightInd w:val="0"/>
              <w:rPr>
                <w:lang w:val="en-US"/>
              </w:rPr>
            </w:pPr>
            <w:r>
              <w:rPr>
                <w:lang w:val="en-US"/>
              </w:rPr>
              <w:t>Device power class</w:t>
            </w:r>
          </w:p>
        </w:tc>
        <w:tc>
          <w:tcPr>
            <w:tcW w:w="4815" w:type="dxa"/>
            <w:tcBorders>
              <w:top w:val="single" w:sz="4" w:space="0" w:color="auto"/>
              <w:left w:val="single" w:sz="4" w:space="0" w:color="auto"/>
              <w:bottom w:val="single" w:sz="4" w:space="0" w:color="auto"/>
              <w:right w:val="single" w:sz="4" w:space="0" w:color="auto"/>
            </w:tcBorders>
            <w:hideMark/>
          </w:tcPr>
          <w:p w14:paraId="567738EE" w14:textId="77777777" w:rsidR="00230FDD" w:rsidRDefault="00230FDD">
            <w:pPr>
              <w:pStyle w:val="TAC"/>
              <w:overflowPunct w:val="0"/>
              <w:autoSpaceDE w:val="0"/>
              <w:autoSpaceDN w:val="0"/>
              <w:adjustRightInd w:val="0"/>
              <w:rPr>
                <w:lang w:val="en-US"/>
              </w:rPr>
            </w:pPr>
            <w:r>
              <w:rPr>
                <w:lang w:val="en-US"/>
              </w:rPr>
              <w:t>23 dBm</w:t>
            </w:r>
          </w:p>
        </w:tc>
      </w:tr>
      <w:tr w:rsidR="00230FDD" w14:paraId="281B6C39" w14:textId="77777777" w:rsidTr="00230FDD">
        <w:tc>
          <w:tcPr>
            <w:tcW w:w="4814" w:type="dxa"/>
            <w:tcBorders>
              <w:top w:val="single" w:sz="4" w:space="0" w:color="auto"/>
              <w:left w:val="single" w:sz="4" w:space="0" w:color="auto"/>
              <w:bottom w:val="single" w:sz="4" w:space="0" w:color="auto"/>
              <w:right w:val="single" w:sz="4" w:space="0" w:color="auto"/>
            </w:tcBorders>
            <w:hideMark/>
          </w:tcPr>
          <w:p w14:paraId="5E1B34F7" w14:textId="77777777" w:rsidR="00230FDD" w:rsidRDefault="00230FDD">
            <w:pPr>
              <w:pStyle w:val="TAC"/>
              <w:overflowPunct w:val="0"/>
              <w:autoSpaceDE w:val="0"/>
              <w:autoSpaceDN w:val="0"/>
              <w:adjustRightInd w:val="0"/>
              <w:rPr>
                <w:lang w:val="en-US"/>
              </w:rPr>
            </w:pPr>
            <w:r>
              <w:rPr>
                <w:lang w:val="en-US"/>
              </w:rPr>
              <w:t>Base station power class</w:t>
            </w:r>
          </w:p>
        </w:tc>
        <w:tc>
          <w:tcPr>
            <w:tcW w:w="4815" w:type="dxa"/>
            <w:tcBorders>
              <w:top w:val="single" w:sz="4" w:space="0" w:color="auto"/>
              <w:left w:val="single" w:sz="4" w:space="0" w:color="auto"/>
              <w:bottom w:val="single" w:sz="4" w:space="0" w:color="auto"/>
              <w:right w:val="single" w:sz="4" w:space="0" w:color="auto"/>
            </w:tcBorders>
            <w:hideMark/>
          </w:tcPr>
          <w:p w14:paraId="54CBC397" w14:textId="0D38F12E" w:rsidR="00230FDD" w:rsidRDefault="00DF6666">
            <w:pPr>
              <w:pStyle w:val="TAC"/>
              <w:overflowPunct w:val="0"/>
              <w:autoSpaceDE w:val="0"/>
              <w:autoSpaceDN w:val="0"/>
              <w:adjustRightInd w:val="0"/>
              <w:rPr>
                <w:lang w:val="en-US"/>
              </w:rPr>
            </w:pPr>
            <w:r>
              <w:rPr>
                <w:lang w:val="en-US"/>
              </w:rPr>
              <w:t>46</w:t>
            </w:r>
            <w:r w:rsidR="00230FDD">
              <w:rPr>
                <w:lang w:val="en-US"/>
              </w:rPr>
              <w:t xml:space="preserve"> dBm </w:t>
            </w:r>
            <w:r w:rsidR="00230FDD">
              <w:rPr>
                <w:lang w:val="en-US"/>
              </w:rPr>
              <w:fldChar w:fldCharType="begin"/>
            </w:r>
            <w:r w:rsidR="00230FDD">
              <w:rPr>
                <w:lang w:val="en-US"/>
              </w:rPr>
              <w:instrText xml:space="preserve"> REF _Ref463001619 \r \h </w:instrText>
            </w:r>
            <w:r w:rsidR="00230FDD">
              <w:rPr>
                <w:lang w:val="en-US"/>
              </w:rPr>
            </w:r>
            <w:r w:rsidR="00230FDD">
              <w:rPr>
                <w:lang w:val="en-US"/>
              </w:rPr>
              <w:fldChar w:fldCharType="separate"/>
            </w:r>
            <w:r w:rsidR="00140E5C">
              <w:rPr>
                <w:lang w:val="en-US"/>
              </w:rPr>
              <w:t>[3]</w:t>
            </w:r>
            <w:r w:rsidR="00230FDD">
              <w:rPr>
                <w:lang w:val="en-US"/>
              </w:rPr>
              <w:fldChar w:fldCharType="end"/>
            </w:r>
          </w:p>
        </w:tc>
      </w:tr>
      <w:tr w:rsidR="00691A1B" w14:paraId="36125ABD" w14:textId="77777777" w:rsidTr="00230FDD">
        <w:tc>
          <w:tcPr>
            <w:tcW w:w="4814" w:type="dxa"/>
            <w:tcBorders>
              <w:top w:val="single" w:sz="4" w:space="0" w:color="auto"/>
              <w:left w:val="single" w:sz="4" w:space="0" w:color="auto"/>
              <w:bottom w:val="single" w:sz="4" w:space="0" w:color="auto"/>
              <w:right w:val="single" w:sz="4" w:space="0" w:color="auto"/>
            </w:tcBorders>
          </w:tcPr>
          <w:p w14:paraId="5CB694AC" w14:textId="715E61CA" w:rsidR="00691A1B" w:rsidRDefault="00691A1B">
            <w:pPr>
              <w:pStyle w:val="TAC"/>
              <w:overflowPunct w:val="0"/>
              <w:autoSpaceDE w:val="0"/>
              <w:autoSpaceDN w:val="0"/>
              <w:adjustRightInd w:val="0"/>
              <w:rPr>
                <w:lang w:val="en-US"/>
              </w:rPr>
            </w:pPr>
            <w:r>
              <w:rPr>
                <w:lang w:val="en-US"/>
              </w:rPr>
              <w:t>Power boosting</w:t>
            </w:r>
          </w:p>
        </w:tc>
        <w:tc>
          <w:tcPr>
            <w:tcW w:w="4815" w:type="dxa"/>
            <w:tcBorders>
              <w:top w:val="single" w:sz="4" w:space="0" w:color="auto"/>
              <w:left w:val="single" w:sz="4" w:space="0" w:color="auto"/>
              <w:bottom w:val="single" w:sz="4" w:space="0" w:color="auto"/>
              <w:right w:val="single" w:sz="4" w:space="0" w:color="auto"/>
            </w:tcBorders>
          </w:tcPr>
          <w:p w14:paraId="63726179" w14:textId="3CBAD6E1" w:rsidR="00691A1B" w:rsidRDefault="00691A1B">
            <w:pPr>
              <w:pStyle w:val="TAC"/>
              <w:overflowPunct w:val="0"/>
              <w:autoSpaceDE w:val="0"/>
              <w:autoSpaceDN w:val="0"/>
              <w:adjustRightInd w:val="0"/>
              <w:rPr>
                <w:lang w:val="en-US"/>
              </w:rPr>
            </w:pPr>
            <w:r>
              <w:rPr>
                <w:lang w:val="en-US"/>
              </w:rPr>
              <w:t>6 dB for NB-IoT anchor</w:t>
            </w:r>
            <w:r w:rsidR="005C5898">
              <w:rPr>
                <w:lang w:val="en-US"/>
              </w:rPr>
              <w:t>, else 0 dB</w:t>
            </w:r>
          </w:p>
        </w:tc>
      </w:tr>
      <w:tr w:rsidR="00DF6666" w14:paraId="6BFB5F2D" w14:textId="77777777" w:rsidTr="00230FDD">
        <w:tc>
          <w:tcPr>
            <w:tcW w:w="4814" w:type="dxa"/>
            <w:tcBorders>
              <w:top w:val="single" w:sz="4" w:space="0" w:color="auto"/>
              <w:left w:val="single" w:sz="4" w:space="0" w:color="auto"/>
              <w:bottom w:val="single" w:sz="4" w:space="0" w:color="auto"/>
              <w:right w:val="single" w:sz="4" w:space="0" w:color="auto"/>
            </w:tcBorders>
          </w:tcPr>
          <w:p w14:paraId="0EDE63D9" w14:textId="44AA6AE9" w:rsidR="00DF6666" w:rsidRDefault="00DF6666">
            <w:pPr>
              <w:pStyle w:val="TAC"/>
              <w:overflowPunct w:val="0"/>
              <w:autoSpaceDE w:val="0"/>
              <w:autoSpaceDN w:val="0"/>
              <w:adjustRightInd w:val="0"/>
              <w:rPr>
                <w:lang w:val="en-US"/>
              </w:rPr>
            </w:pPr>
            <w:r>
              <w:rPr>
                <w:lang w:val="en-US"/>
              </w:rPr>
              <w:t>Device antenna configuration</w:t>
            </w:r>
          </w:p>
        </w:tc>
        <w:tc>
          <w:tcPr>
            <w:tcW w:w="4815" w:type="dxa"/>
            <w:tcBorders>
              <w:top w:val="single" w:sz="4" w:space="0" w:color="auto"/>
              <w:left w:val="single" w:sz="4" w:space="0" w:color="auto"/>
              <w:bottom w:val="single" w:sz="4" w:space="0" w:color="auto"/>
              <w:right w:val="single" w:sz="4" w:space="0" w:color="auto"/>
            </w:tcBorders>
          </w:tcPr>
          <w:p w14:paraId="04A93FA5" w14:textId="002E7DC5" w:rsidR="00DF6666" w:rsidRDefault="00DF6666">
            <w:pPr>
              <w:pStyle w:val="TAC"/>
              <w:overflowPunct w:val="0"/>
              <w:autoSpaceDE w:val="0"/>
              <w:autoSpaceDN w:val="0"/>
              <w:adjustRightInd w:val="0"/>
              <w:rPr>
                <w:lang w:val="en-US"/>
              </w:rPr>
            </w:pPr>
            <w:r>
              <w:rPr>
                <w:lang w:val="en-US"/>
              </w:rPr>
              <w:t>1 RX, 1 TX</w:t>
            </w:r>
          </w:p>
        </w:tc>
      </w:tr>
      <w:tr w:rsidR="00DF6666" w14:paraId="4012D8B4" w14:textId="77777777" w:rsidTr="00230FDD">
        <w:tc>
          <w:tcPr>
            <w:tcW w:w="4814" w:type="dxa"/>
            <w:tcBorders>
              <w:top w:val="single" w:sz="4" w:space="0" w:color="auto"/>
              <w:left w:val="single" w:sz="4" w:space="0" w:color="auto"/>
              <w:bottom w:val="single" w:sz="4" w:space="0" w:color="auto"/>
              <w:right w:val="single" w:sz="4" w:space="0" w:color="auto"/>
            </w:tcBorders>
          </w:tcPr>
          <w:p w14:paraId="45FCBC8A" w14:textId="73C310CE" w:rsidR="00DF6666" w:rsidRDefault="00DF6666">
            <w:pPr>
              <w:pStyle w:val="TAC"/>
              <w:overflowPunct w:val="0"/>
              <w:autoSpaceDE w:val="0"/>
              <w:autoSpaceDN w:val="0"/>
              <w:adjustRightInd w:val="0"/>
              <w:rPr>
                <w:lang w:val="en-US"/>
              </w:rPr>
            </w:pPr>
            <w:r>
              <w:rPr>
                <w:lang w:val="en-US"/>
              </w:rPr>
              <w:t>Base station antenna configuration</w:t>
            </w:r>
          </w:p>
        </w:tc>
        <w:tc>
          <w:tcPr>
            <w:tcW w:w="4815" w:type="dxa"/>
            <w:tcBorders>
              <w:top w:val="single" w:sz="4" w:space="0" w:color="auto"/>
              <w:left w:val="single" w:sz="4" w:space="0" w:color="auto"/>
              <w:bottom w:val="single" w:sz="4" w:space="0" w:color="auto"/>
              <w:right w:val="single" w:sz="4" w:space="0" w:color="auto"/>
            </w:tcBorders>
          </w:tcPr>
          <w:p w14:paraId="0BD9DD7E" w14:textId="099212E8" w:rsidR="00DF6666" w:rsidRDefault="00DF6666">
            <w:pPr>
              <w:pStyle w:val="TAC"/>
              <w:overflowPunct w:val="0"/>
              <w:autoSpaceDE w:val="0"/>
              <w:autoSpaceDN w:val="0"/>
              <w:adjustRightInd w:val="0"/>
              <w:rPr>
                <w:lang w:val="en-US"/>
              </w:rPr>
            </w:pPr>
            <w:r>
              <w:rPr>
                <w:lang w:val="en-US"/>
              </w:rPr>
              <w:t>2 RX, 2 TX</w:t>
            </w:r>
          </w:p>
        </w:tc>
      </w:tr>
      <w:tr w:rsidR="00A25001" w14:paraId="4A7633E8" w14:textId="77777777" w:rsidTr="00230FDD">
        <w:tc>
          <w:tcPr>
            <w:tcW w:w="4814" w:type="dxa"/>
            <w:tcBorders>
              <w:top w:val="single" w:sz="4" w:space="0" w:color="auto"/>
              <w:left w:val="single" w:sz="4" w:space="0" w:color="auto"/>
              <w:bottom w:val="single" w:sz="4" w:space="0" w:color="auto"/>
              <w:right w:val="single" w:sz="4" w:space="0" w:color="auto"/>
            </w:tcBorders>
          </w:tcPr>
          <w:p w14:paraId="49417419" w14:textId="02107AAB" w:rsidR="00A25001" w:rsidRDefault="00A25001">
            <w:pPr>
              <w:pStyle w:val="TAC"/>
              <w:overflowPunct w:val="0"/>
              <w:autoSpaceDE w:val="0"/>
              <w:autoSpaceDN w:val="0"/>
              <w:adjustRightInd w:val="0"/>
              <w:rPr>
                <w:lang w:val="en-US"/>
              </w:rPr>
            </w:pPr>
            <w:r>
              <w:rPr>
                <w:lang w:val="en-US"/>
              </w:rPr>
              <w:t>Mode of operation</w:t>
            </w:r>
          </w:p>
        </w:tc>
        <w:tc>
          <w:tcPr>
            <w:tcW w:w="4815" w:type="dxa"/>
            <w:tcBorders>
              <w:top w:val="single" w:sz="4" w:space="0" w:color="auto"/>
              <w:left w:val="single" w:sz="4" w:space="0" w:color="auto"/>
              <w:bottom w:val="single" w:sz="4" w:space="0" w:color="auto"/>
              <w:right w:val="single" w:sz="4" w:space="0" w:color="auto"/>
            </w:tcBorders>
          </w:tcPr>
          <w:p w14:paraId="6F0FC144" w14:textId="63436160" w:rsidR="00A25001" w:rsidRDefault="00883B1E">
            <w:pPr>
              <w:pStyle w:val="TAC"/>
              <w:overflowPunct w:val="0"/>
              <w:autoSpaceDE w:val="0"/>
              <w:autoSpaceDN w:val="0"/>
              <w:adjustRightInd w:val="0"/>
              <w:rPr>
                <w:lang w:val="en-US"/>
              </w:rPr>
            </w:pPr>
            <w:r>
              <w:rPr>
                <w:lang w:val="en-US"/>
              </w:rPr>
              <w:t>I</w:t>
            </w:r>
            <w:r w:rsidR="00A25001">
              <w:rPr>
                <w:lang w:val="en-US"/>
              </w:rPr>
              <w:t>nband</w:t>
            </w:r>
          </w:p>
        </w:tc>
      </w:tr>
      <w:tr w:rsidR="00A25001" w14:paraId="6092C254" w14:textId="77777777" w:rsidTr="00230FDD">
        <w:tc>
          <w:tcPr>
            <w:tcW w:w="4814" w:type="dxa"/>
            <w:tcBorders>
              <w:top w:val="single" w:sz="4" w:space="0" w:color="auto"/>
              <w:left w:val="single" w:sz="4" w:space="0" w:color="auto"/>
              <w:bottom w:val="single" w:sz="4" w:space="0" w:color="auto"/>
              <w:right w:val="single" w:sz="4" w:space="0" w:color="auto"/>
            </w:tcBorders>
          </w:tcPr>
          <w:p w14:paraId="036707A0" w14:textId="678E86D6" w:rsidR="00A25001" w:rsidRDefault="00A25001">
            <w:pPr>
              <w:pStyle w:val="TAC"/>
              <w:overflowPunct w:val="0"/>
              <w:autoSpaceDE w:val="0"/>
              <w:autoSpaceDN w:val="0"/>
              <w:adjustRightInd w:val="0"/>
              <w:rPr>
                <w:lang w:val="en-US"/>
              </w:rPr>
            </w:pPr>
            <w:r>
              <w:rPr>
                <w:lang w:val="en-US"/>
              </w:rPr>
              <w:t>LTE system bandwidth</w:t>
            </w:r>
          </w:p>
        </w:tc>
        <w:tc>
          <w:tcPr>
            <w:tcW w:w="4815" w:type="dxa"/>
            <w:tcBorders>
              <w:top w:val="single" w:sz="4" w:space="0" w:color="auto"/>
              <w:left w:val="single" w:sz="4" w:space="0" w:color="auto"/>
              <w:bottom w:val="single" w:sz="4" w:space="0" w:color="auto"/>
              <w:right w:val="single" w:sz="4" w:space="0" w:color="auto"/>
            </w:tcBorders>
          </w:tcPr>
          <w:p w14:paraId="229C486A" w14:textId="55A7FC9E" w:rsidR="00A25001" w:rsidRDefault="00A25001">
            <w:pPr>
              <w:pStyle w:val="TAC"/>
              <w:overflowPunct w:val="0"/>
              <w:autoSpaceDE w:val="0"/>
              <w:autoSpaceDN w:val="0"/>
              <w:adjustRightInd w:val="0"/>
              <w:rPr>
                <w:lang w:val="en-US"/>
              </w:rPr>
            </w:pPr>
            <w:r>
              <w:rPr>
                <w:lang w:val="en-US"/>
              </w:rPr>
              <w:t>10 MHz</w:t>
            </w:r>
          </w:p>
        </w:tc>
      </w:tr>
      <w:tr w:rsidR="000843A5" w14:paraId="267CF556" w14:textId="77777777" w:rsidTr="00230FDD">
        <w:tc>
          <w:tcPr>
            <w:tcW w:w="4814" w:type="dxa"/>
            <w:tcBorders>
              <w:top w:val="single" w:sz="4" w:space="0" w:color="auto"/>
              <w:left w:val="single" w:sz="4" w:space="0" w:color="auto"/>
              <w:bottom w:val="single" w:sz="4" w:space="0" w:color="auto"/>
              <w:right w:val="single" w:sz="4" w:space="0" w:color="auto"/>
            </w:tcBorders>
          </w:tcPr>
          <w:p w14:paraId="59628E6C" w14:textId="72989F7D" w:rsidR="000843A5" w:rsidRDefault="000843A5">
            <w:pPr>
              <w:pStyle w:val="TAC"/>
              <w:overflowPunct w:val="0"/>
              <w:autoSpaceDE w:val="0"/>
              <w:autoSpaceDN w:val="0"/>
              <w:adjustRightInd w:val="0"/>
              <w:rPr>
                <w:lang w:val="en-US"/>
              </w:rPr>
            </w:pPr>
            <w:r>
              <w:rPr>
                <w:lang w:val="en-US"/>
              </w:rPr>
              <w:t>Frame structure</w:t>
            </w:r>
          </w:p>
        </w:tc>
        <w:tc>
          <w:tcPr>
            <w:tcW w:w="4815" w:type="dxa"/>
            <w:tcBorders>
              <w:top w:val="single" w:sz="4" w:space="0" w:color="auto"/>
              <w:left w:val="single" w:sz="4" w:space="0" w:color="auto"/>
              <w:bottom w:val="single" w:sz="4" w:space="0" w:color="auto"/>
              <w:right w:val="single" w:sz="4" w:space="0" w:color="auto"/>
            </w:tcBorders>
          </w:tcPr>
          <w:p w14:paraId="34FE9A94" w14:textId="1125644B" w:rsidR="000843A5" w:rsidRDefault="000843A5">
            <w:pPr>
              <w:pStyle w:val="TAC"/>
              <w:overflowPunct w:val="0"/>
              <w:autoSpaceDE w:val="0"/>
              <w:autoSpaceDN w:val="0"/>
              <w:adjustRightInd w:val="0"/>
              <w:rPr>
                <w:lang w:val="en-US"/>
              </w:rPr>
            </w:pPr>
            <w:r>
              <w:rPr>
                <w:lang w:val="en-US"/>
              </w:rPr>
              <w:t>FDD</w:t>
            </w:r>
          </w:p>
        </w:tc>
      </w:tr>
      <w:tr w:rsidR="000843A5" w14:paraId="3F700ACD" w14:textId="77777777" w:rsidTr="008F62DC">
        <w:tc>
          <w:tcPr>
            <w:tcW w:w="9629" w:type="dxa"/>
            <w:gridSpan w:val="2"/>
            <w:tcBorders>
              <w:top w:val="single" w:sz="4" w:space="0" w:color="auto"/>
              <w:left w:val="single" w:sz="4" w:space="0" w:color="auto"/>
              <w:bottom w:val="single" w:sz="4" w:space="0" w:color="auto"/>
              <w:right w:val="single" w:sz="4" w:space="0" w:color="auto"/>
            </w:tcBorders>
          </w:tcPr>
          <w:p w14:paraId="6B6C93D4" w14:textId="72FF2381" w:rsidR="000843A5" w:rsidRDefault="000843A5" w:rsidP="000843A5">
            <w:pPr>
              <w:pStyle w:val="TAH"/>
              <w:overflowPunct w:val="0"/>
              <w:autoSpaceDE w:val="0"/>
              <w:autoSpaceDN w:val="0"/>
              <w:adjustRightInd w:val="0"/>
              <w:rPr>
                <w:lang w:val="en-US"/>
              </w:rPr>
            </w:pPr>
            <w:r>
              <w:rPr>
                <w:lang w:val="en-US"/>
              </w:rPr>
              <w:t>System parameters</w:t>
            </w:r>
          </w:p>
        </w:tc>
      </w:tr>
      <w:tr w:rsidR="000843A5" w14:paraId="2F1FB1B2" w14:textId="77777777" w:rsidTr="00230FDD">
        <w:tc>
          <w:tcPr>
            <w:tcW w:w="4814" w:type="dxa"/>
            <w:tcBorders>
              <w:top w:val="single" w:sz="4" w:space="0" w:color="auto"/>
              <w:left w:val="single" w:sz="4" w:space="0" w:color="auto"/>
              <w:bottom w:val="single" w:sz="4" w:space="0" w:color="auto"/>
              <w:right w:val="single" w:sz="4" w:space="0" w:color="auto"/>
            </w:tcBorders>
          </w:tcPr>
          <w:p w14:paraId="39663B0D" w14:textId="3B2CC929" w:rsidR="000843A5" w:rsidRDefault="000843A5">
            <w:pPr>
              <w:pStyle w:val="TAC"/>
              <w:overflowPunct w:val="0"/>
              <w:autoSpaceDE w:val="0"/>
              <w:autoSpaceDN w:val="0"/>
              <w:adjustRightInd w:val="0"/>
              <w:rPr>
                <w:lang w:val="en-US"/>
              </w:rPr>
            </w:pPr>
            <w:r>
              <w:rPr>
                <w:lang w:val="en-US"/>
              </w:rPr>
              <w:t>Cell grid</w:t>
            </w:r>
          </w:p>
        </w:tc>
        <w:tc>
          <w:tcPr>
            <w:tcW w:w="4815" w:type="dxa"/>
            <w:tcBorders>
              <w:top w:val="single" w:sz="4" w:space="0" w:color="auto"/>
              <w:left w:val="single" w:sz="4" w:space="0" w:color="auto"/>
              <w:bottom w:val="single" w:sz="4" w:space="0" w:color="auto"/>
              <w:right w:val="single" w:sz="4" w:space="0" w:color="auto"/>
            </w:tcBorders>
          </w:tcPr>
          <w:p w14:paraId="21F42AEE" w14:textId="72E01A50" w:rsidR="000843A5" w:rsidRDefault="000843A5">
            <w:pPr>
              <w:pStyle w:val="TAC"/>
              <w:overflowPunct w:val="0"/>
              <w:autoSpaceDE w:val="0"/>
              <w:autoSpaceDN w:val="0"/>
              <w:adjustRightInd w:val="0"/>
              <w:rPr>
                <w:lang w:val="en-US"/>
              </w:rPr>
            </w:pPr>
            <w:r>
              <w:rPr>
                <w:lang w:val="en-US"/>
              </w:rPr>
              <w:t>Hexagonal macro grid</w:t>
            </w:r>
          </w:p>
        </w:tc>
      </w:tr>
      <w:tr w:rsidR="000843A5" w14:paraId="3E44B43B" w14:textId="77777777" w:rsidTr="00230FDD">
        <w:tc>
          <w:tcPr>
            <w:tcW w:w="4814" w:type="dxa"/>
            <w:tcBorders>
              <w:top w:val="single" w:sz="4" w:space="0" w:color="auto"/>
              <w:left w:val="single" w:sz="4" w:space="0" w:color="auto"/>
              <w:bottom w:val="single" w:sz="4" w:space="0" w:color="auto"/>
              <w:right w:val="single" w:sz="4" w:space="0" w:color="auto"/>
            </w:tcBorders>
          </w:tcPr>
          <w:p w14:paraId="5E6C490F" w14:textId="4B9A609C" w:rsidR="000843A5" w:rsidRDefault="000843A5" w:rsidP="000843A5">
            <w:pPr>
              <w:pStyle w:val="TAC"/>
              <w:overflowPunct w:val="0"/>
              <w:autoSpaceDE w:val="0"/>
              <w:autoSpaceDN w:val="0"/>
              <w:adjustRightInd w:val="0"/>
              <w:rPr>
                <w:lang w:val="en-US"/>
              </w:rPr>
            </w:pPr>
            <w:r>
              <w:rPr>
                <w:lang w:val="en-US"/>
              </w:rPr>
              <w:t>ISD</w:t>
            </w:r>
          </w:p>
        </w:tc>
        <w:tc>
          <w:tcPr>
            <w:tcW w:w="4815" w:type="dxa"/>
            <w:tcBorders>
              <w:top w:val="single" w:sz="4" w:space="0" w:color="auto"/>
              <w:left w:val="single" w:sz="4" w:space="0" w:color="auto"/>
              <w:bottom w:val="single" w:sz="4" w:space="0" w:color="auto"/>
              <w:right w:val="single" w:sz="4" w:space="0" w:color="auto"/>
            </w:tcBorders>
          </w:tcPr>
          <w:p w14:paraId="7B3BC014" w14:textId="7C791B1B" w:rsidR="000843A5" w:rsidRDefault="000843A5" w:rsidP="000843A5">
            <w:pPr>
              <w:pStyle w:val="TAC"/>
              <w:overflowPunct w:val="0"/>
              <w:autoSpaceDE w:val="0"/>
              <w:autoSpaceDN w:val="0"/>
              <w:adjustRightInd w:val="0"/>
              <w:rPr>
                <w:lang w:val="en-US"/>
              </w:rPr>
            </w:pPr>
            <w:r>
              <w:rPr>
                <w:lang w:val="en-US"/>
              </w:rPr>
              <w:t>1732 m</w:t>
            </w:r>
          </w:p>
        </w:tc>
      </w:tr>
      <w:tr w:rsidR="00230604" w14:paraId="16E66A9A" w14:textId="77777777" w:rsidTr="00230FDD">
        <w:tc>
          <w:tcPr>
            <w:tcW w:w="4814" w:type="dxa"/>
            <w:tcBorders>
              <w:top w:val="single" w:sz="4" w:space="0" w:color="auto"/>
              <w:left w:val="single" w:sz="4" w:space="0" w:color="auto"/>
              <w:bottom w:val="single" w:sz="4" w:space="0" w:color="auto"/>
              <w:right w:val="single" w:sz="4" w:space="0" w:color="auto"/>
            </w:tcBorders>
          </w:tcPr>
          <w:p w14:paraId="7A14D1E2" w14:textId="7878C6A1" w:rsidR="00230604" w:rsidRDefault="00230604" w:rsidP="000843A5">
            <w:pPr>
              <w:pStyle w:val="TAC"/>
              <w:overflowPunct w:val="0"/>
              <w:autoSpaceDE w:val="0"/>
              <w:autoSpaceDN w:val="0"/>
              <w:adjustRightInd w:val="0"/>
              <w:rPr>
                <w:lang w:val="en-US"/>
              </w:rPr>
            </w:pPr>
            <w:r>
              <w:rPr>
                <w:lang w:val="en-US"/>
              </w:rPr>
              <w:t>System size</w:t>
            </w:r>
          </w:p>
        </w:tc>
        <w:tc>
          <w:tcPr>
            <w:tcW w:w="4815" w:type="dxa"/>
            <w:tcBorders>
              <w:top w:val="single" w:sz="4" w:space="0" w:color="auto"/>
              <w:left w:val="single" w:sz="4" w:space="0" w:color="auto"/>
              <w:bottom w:val="single" w:sz="4" w:space="0" w:color="auto"/>
              <w:right w:val="single" w:sz="4" w:space="0" w:color="auto"/>
            </w:tcBorders>
          </w:tcPr>
          <w:p w14:paraId="0BC4C5D6" w14:textId="5D11E810" w:rsidR="00230604" w:rsidRDefault="00230604" w:rsidP="000843A5">
            <w:pPr>
              <w:pStyle w:val="TAC"/>
              <w:overflowPunct w:val="0"/>
              <w:autoSpaceDE w:val="0"/>
              <w:autoSpaceDN w:val="0"/>
              <w:adjustRightInd w:val="0"/>
              <w:rPr>
                <w:lang w:val="en-US"/>
              </w:rPr>
            </w:pPr>
            <w:r>
              <w:rPr>
                <w:lang w:val="en-US"/>
              </w:rPr>
              <w:t>21 cells</w:t>
            </w:r>
          </w:p>
        </w:tc>
      </w:tr>
      <w:tr w:rsidR="000843A5" w14:paraId="10DD1C24" w14:textId="77777777" w:rsidTr="00230FDD">
        <w:tc>
          <w:tcPr>
            <w:tcW w:w="4814" w:type="dxa"/>
            <w:tcBorders>
              <w:top w:val="single" w:sz="4" w:space="0" w:color="auto"/>
              <w:left w:val="single" w:sz="4" w:space="0" w:color="auto"/>
              <w:bottom w:val="single" w:sz="4" w:space="0" w:color="auto"/>
              <w:right w:val="single" w:sz="4" w:space="0" w:color="auto"/>
            </w:tcBorders>
          </w:tcPr>
          <w:p w14:paraId="241607AF" w14:textId="003BA672" w:rsidR="000843A5" w:rsidRDefault="000843A5">
            <w:pPr>
              <w:pStyle w:val="TAC"/>
              <w:overflowPunct w:val="0"/>
              <w:autoSpaceDE w:val="0"/>
              <w:autoSpaceDN w:val="0"/>
              <w:adjustRightInd w:val="0"/>
              <w:rPr>
                <w:lang w:val="en-US"/>
              </w:rPr>
            </w:pPr>
            <w:r>
              <w:rPr>
                <w:lang w:val="en-US"/>
              </w:rPr>
              <w:t>Simulation time</w:t>
            </w:r>
          </w:p>
        </w:tc>
        <w:tc>
          <w:tcPr>
            <w:tcW w:w="4815" w:type="dxa"/>
            <w:tcBorders>
              <w:top w:val="single" w:sz="4" w:space="0" w:color="auto"/>
              <w:left w:val="single" w:sz="4" w:space="0" w:color="auto"/>
              <w:bottom w:val="single" w:sz="4" w:space="0" w:color="auto"/>
              <w:right w:val="single" w:sz="4" w:space="0" w:color="auto"/>
            </w:tcBorders>
          </w:tcPr>
          <w:p w14:paraId="7C317832" w14:textId="45831760" w:rsidR="000843A5" w:rsidRDefault="000843A5" w:rsidP="000843A5">
            <w:pPr>
              <w:pStyle w:val="TAC"/>
              <w:overflowPunct w:val="0"/>
              <w:autoSpaceDE w:val="0"/>
              <w:autoSpaceDN w:val="0"/>
              <w:adjustRightInd w:val="0"/>
              <w:rPr>
                <w:lang w:val="en-US"/>
              </w:rPr>
            </w:pPr>
            <w:r>
              <w:rPr>
                <w:lang w:val="en-US"/>
              </w:rPr>
              <w:t>120 s</w:t>
            </w:r>
          </w:p>
        </w:tc>
      </w:tr>
    </w:tbl>
    <w:p w14:paraId="462A6FA4" w14:textId="3696CB67" w:rsidR="00230FDD" w:rsidRDefault="00230FDD" w:rsidP="00230FDD">
      <w:pPr>
        <w:tabs>
          <w:tab w:val="left" w:pos="5245"/>
        </w:tabs>
        <w:rPr>
          <w:rFonts w:ascii="Arial" w:hAnsi="Arial" w:cs="Arial"/>
          <w:sz w:val="20"/>
        </w:rPr>
      </w:pPr>
    </w:p>
    <w:p w14:paraId="0527DB66" w14:textId="7BC834E1" w:rsidR="003858D1" w:rsidRDefault="0005675C" w:rsidP="003858D1">
      <w:pPr>
        <w:pStyle w:val="Heading2"/>
        <w:numPr>
          <w:ilvl w:val="1"/>
          <w:numId w:val="49"/>
        </w:numPr>
        <w:textAlignment w:val="auto"/>
      </w:pPr>
      <w:r>
        <w:t>Modelling of procedures and channels</w:t>
      </w:r>
    </w:p>
    <w:p w14:paraId="5206045C" w14:textId="7B84637A" w:rsidR="003858D1" w:rsidRDefault="00444FB1" w:rsidP="00230FDD">
      <w:pPr>
        <w:tabs>
          <w:tab w:val="left" w:pos="5245"/>
        </w:tabs>
        <w:rPr>
          <w:rFonts w:ascii="Arial" w:hAnsi="Arial" w:cs="Arial"/>
          <w:sz w:val="20"/>
        </w:rPr>
      </w:pPr>
      <w:r>
        <w:rPr>
          <w:rFonts w:ascii="Arial" w:hAnsi="Arial" w:cs="Arial"/>
          <w:sz w:val="20"/>
        </w:rPr>
        <w:fldChar w:fldCharType="begin"/>
      </w:r>
      <w:r>
        <w:rPr>
          <w:rFonts w:ascii="Arial" w:hAnsi="Arial" w:cs="Arial"/>
          <w:sz w:val="20"/>
        </w:rPr>
        <w:instrText xml:space="preserve"> REF _Ref474696327 \h </w:instrText>
      </w:r>
      <w:r>
        <w:rPr>
          <w:rFonts w:ascii="Arial" w:hAnsi="Arial" w:cs="Arial"/>
          <w:sz w:val="20"/>
        </w:rPr>
      </w:r>
      <w:r>
        <w:rPr>
          <w:rFonts w:ascii="Arial" w:hAnsi="Arial" w:cs="Arial"/>
          <w:sz w:val="20"/>
        </w:rPr>
        <w:fldChar w:fldCharType="separate"/>
      </w:r>
      <w:r w:rsidR="00140E5C" w:rsidRPr="00444FB1">
        <w:rPr>
          <w:rFonts w:ascii="Arial" w:hAnsi="Arial" w:cs="Arial"/>
          <w:sz w:val="20"/>
        </w:rPr>
        <w:t xml:space="preserve">Table </w:t>
      </w:r>
      <w:r w:rsidR="00140E5C">
        <w:rPr>
          <w:rFonts w:ascii="Arial" w:hAnsi="Arial" w:cs="Arial"/>
          <w:noProof/>
          <w:sz w:val="20"/>
        </w:rPr>
        <w:t>7</w:t>
      </w:r>
      <w:r>
        <w:rPr>
          <w:rFonts w:ascii="Arial" w:hAnsi="Arial" w:cs="Arial"/>
          <w:sz w:val="20"/>
        </w:rPr>
        <w:fldChar w:fldCharType="end"/>
      </w:r>
      <w:r>
        <w:rPr>
          <w:rFonts w:ascii="Arial" w:hAnsi="Arial" w:cs="Arial"/>
          <w:sz w:val="20"/>
        </w:rPr>
        <w:t xml:space="preserve"> provides an overview of the level of modelling implemented in the system simulator evaluating the connection density target.</w:t>
      </w:r>
      <w:r w:rsidR="0005675C">
        <w:rPr>
          <w:rFonts w:ascii="Arial" w:hAnsi="Arial" w:cs="Arial"/>
          <w:sz w:val="20"/>
        </w:rPr>
        <w:t xml:space="preserve"> It should be noted</w:t>
      </w:r>
      <w:r w:rsidR="00B50AB5">
        <w:rPr>
          <w:rFonts w:ascii="Arial" w:hAnsi="Arial" w:cs="Arial"/>
          <w:sz w:val="20"/>
        </w:rPr>
        <w:t xml:space="preserve"> that modelling of </w:t>
      </w:r>
      <w:r w:rsidR="003858D1">
        <w:rPr>
          <w:rFonts w:ascii="Arial" w:hAnsi="Arial" w:cs="Arial"/>
          <w:sz w:val="20"/>
        </w:rPr>
        <w:t xml:space="preserve">synchronization and broadcast </w:t>
      </w:r>
      <w:r w:rsidR="00B50AB5">
        <w:rPr>
          <w:rFonts w:ascii="Arial" w:hAnsi="Arial" w:cs="Arial"/>
          <w:sz w:val="20"/>
        </w:rPr>
        <w:t>channel performance</w:t>
      </w:r>
      <w:r w:rsidR="003858D1">
        <w:rPr>
          <w:rFonts w:ascii="Arial" w:hAnsi="Arial" w:cs="Arial"/>
          <w:sz w:val="20"/>
        </w:rPr>
        <w:t xml:space="preserve"> </w:t>
      </w:r>
      <w:r w:rsidR="00B50AB5">
        <w:rPr>
          <w:rFonts w:ascii="Arial" w:hAnsi="Arial" w:cs="Arial"/>
          <w:sz w:val="20"/>
        </w:rPr>
        <w:t>is not considered</w:t>
      </w:r>
      <w:r w:rsidR="0005675C">
        <w:rPr>
          <w:rFonts w:ascii="Arial" w:hAnsi="Arial" w:cs="Arial"/>
          <w:sz w:val="20"/>
        </w:rPr>
        <w:t xml:space="preserve"> </w:t>
      </w:r>
      <w:r w:rsidR="008A3940">
        <w:rPr>
          <w:rFonts w:ascii="Arial" w:hAnsi="Arial" w:cs="Arial"/>
          <w:sz w:val="20"/>
        </w:rPr>
        <w:t>to be</w:t>
      </w:r>
      <w:r w:rsidR="00B50AB5">
        <w:rPr>
          <w:rFonts w:ascii="Arial" w:hAnsi="Arial" w:cs="Arial"/>
          <w:sz w:val="20"/>
        </w:rPr>
        <w:t xml:space="preserve"> needed in a </w:t>
      </w:r>
      <w:r w:rsidR="0005675C">
        <w:rPr>
          <w:rFonts w:ascii="Arial" w:hAnsi="Arial" w:cs="Arial"/>
          <w:sz w:val="20"/>
        </w:rPr>
        <w:t xml:space="preserve">system capacity simulation. </w:t>
      </w:r>
      <w:r w:rsidR="00EE6F3D">
        <w:rPr>
          <w:rFonts w:ascii="Arial" w:hAnsi="Arial" w:cs="Arial"/>
          <w:sz w:val="20"/>
        </w:rPr>
        <w:t>For the (N)</w:t>
      </w:r>
      <w:r w:rsidR="00660E9A">
        <w:rPr>
          <w:rFonts w:ascii="Arial" w:hAnsi="Arial" w:cs="Arial"/>
          <w:sz w:val="20"/>
        </w:rPr>
        <w:t>P</w:t>
      </w:r>
      <w:r w:rsidR="00EE6F3D">
        <w:rPr>
          <w:rFonts w:ascii="Arial" w:hAnsi="Arial" w:cs="Arial"/>
          <w:sz w:val="20"/>
        </w:rPr>
        <w:t xml:space="preserve">RACH error free performance was assumed </w:t>
      </w:r>
      <w:r w:rsidR="007A05FD">
        <w:rPr>
          <w:rFonts w:ascii="Arial" w:hAnsi="Arial" w:cs="Arial"/>
          <w:sz w:val="20"/>
        </w:rPr>
        <w:t xml:space="preserve">for each repetition level </w:t>
      </w:r>
      <w:r w:rsidR="00EE6F3D">
        <w:rPr>
          <w:rFonts w:ascii="Arial" w:hAnsi="Arial" w:cs="Arial"/>
          <w:sz w:val="20"/>
        </w:rPr>
        <w:t xml:space="preserve">in </w:t>
      </w:r>
      <w:r w:rsidR="00770ABA">
        <w:rPr>
          <w:rFonts w:ascii="Arial" w:hAnsi="Arial" w:cs="Arial"/>
          <w:sz w:val="20"/>
        </w:rPr>
        <w:t>case no collision was detected.</w:t>
      </w:r>
      <w:r w:rsidR="00E47E5A">
        <w:rPr>
          <w:rFonts w:ascii="Arial" w:hAnsi="Arial" w:cs="Arial"/>
          <w:sz w:val="20"/>
        </w:rPr>
        <w:t xml:space="preserve"> In case of collision both colliding users are assumed to fail accessing.</w:t>
      </w:r>
      <w:r w:rsidR="00770ABA">
        <w:rPr>
          <w:rFonts w:ascii="Arial" w:hAnsi="Arial" w:cs="Arial"/>
          <w:sz w:val="20"/>
        </w:rPr>
        <w:t xml:space="preserve"> F</w:t>
      </w:r>
      <w:r w:rsidR="005E720A">
        <w:rPr>
          <w:rFonts w:ascii="Arial" w:hAnsi="Arial" w:cs="Arial"/>
          <w:sz w:val="20"/>
        </w:rPr>
        <w:t xml:space="preserve">or the </w:t>
      </w:r>
      <w:r w:rsidR="00770ABA">
        <w:rPr>
          <w:rFonts w:ascii="Arial" w:hAnsi="Arial" w:cs="Arial"/>
          <w:sz w:val="20"/>
        </w:rPr>
        <w:t>NPDCCH</w:t>
      </w:r>
      <w:r w:rsidR="005E720A">
        <w:rPr>
          <w:rFonts w:ascii="Arial" w:hAnsi="Arial" w:cs="Arial"/>
          <w:sz w:val="20"/>
        </w:rPr>
        <w:t>/MPDCCH</w:t>
      </w:r>
      <w:r w:rsidR="00770ABA">
        <w:rPr>
          <w:rFonts w:ascii="Arial" w:hAnsi="Arial" w:cs="Arial"/>
          <w:sz w:val="20"/>
        </w:rPr>
        <w:t>, (N)PDSCH, (N)PUSCH no channel estimation errors were assumed in the link to system mapping.</w:t>
      </w:r>
    </w:p>
    <w:p w14:paraId="2A9E129D" w14:textId="13DEDADE" w:rsidR="00444FB1" w:rsidRPr="00444FB1" w:rsidRDefault="00444FB1" w:rsidP="00444FB1">
      <w:pPr>
        <w:pStyle w:val="Caption"/>
        <w:keepNext/>
        <w:rPr>
          <w:rFonts w:ascii="Arial" w:hAnsi="Arial" w:cs="Arial"/>
          <w:sz w:val="20"/>
        </w:rPr>
      </w:pPr>
      <w:bookmarkStart w:id="11" w:name="_Ref474696327"/>
      <w:r w:rsidRPr="00444FB1">
        <w:rPr>
          <w:rFonts w:ascii="Arial" w:hAnsi="Arial" w:cs="Arial"/>
          <w:sz w:val="20"/>
        </w:rPr>
        <w:t xml:space="preserve">Table </w:t>
      </w:r>
      <w:r w:rsidRPr="00444FB1">
        <w:rPr>
          <w:rFonts w:ascii="Arial" w:hAnsi="Arial" w:cs="Arial"/>
          <w:sz w:val="20"/>
        </w:rPr>
        <w:fldChar w:fldCharType="begin"/>
      </w:r>
      <w:r w:rsidRPr="00444FB1">
        <w:rPr>
          <w:rFonts w:ascii="Arial" w:hAnsi="Arial" w:cs="Arial"/>
          <w:sz w:val="20"/>
        </w:rPr>
        <w:instrText xml:space="preserve"> SEQ Table \* ARABIC </w:instrText>
      </w:r>
      <w:r w:rsidRPr="00444FB1">
        <w:rPr>
          <w:rFonts w:ascii="Arial" w:hAnsi="Arial" w:cs="Arial"/>
          <w:sz w:val="20"/>
        </w:rPr>
        <w:fldChar w:fldCharType="separate"/>
      </w:r>
      <w:r w:rsidR="00140E5C">
        <w:rPr>
          <w:rFonts w:ascii="Arial" w:hAnsi="Arial" w:cs="Arial"/>
          <w:noProof/>
          <w:sz w:val="20"/>
        </w:rPr>
        <w:t>7</w:t>
      </w:r>
      <w:r w:rsidRPr="00444FB1">
        <w:rPr>
          <w:rFonts w:ascii="Arial" w:hAnsi="Arial" w:cs="Arial"/>
          <w:sz w:val="20"/>
        </w:rPr>
        <w:fldChar w:fldCharType="end"/>
      </w:r>
      <w:bookmarkEnd w:id="11"/>
      <w:r>
        <w:rPr>
          <w:rFonts w:ascii="Arial" w:hAnsi="Arial" w:cs="Arial"/>
          <w:sz w:val="20"/>
        </w:rPr>
        <w:t xml:space="preserve"> Overview of channel and procedures modelled in the system evaluations.</w:t>
      </w:r>
    </w:p>
    <w:tbl>
      <w:tblPr>
        <w:tblStyle w:val="TableGrid"/>
        <w:tblW w:w="0" w:type="auto"/>
        <w:tblLook w:val="04A0" w:firstRow="1" w:lastRow="0" w:firstColumn="1" w:lastColumn="0" w:noHBand="0" w:noVBand="1"/>
      </w:tblPr>
      <w:tblGrid>
        <w:gridCol w:w="3209"/>
        <w:gridCol w:w="3210"/>
        <w:gridCol w:w="3210"/>
      </w:tblGrid>
      <w:tr w:rsidR="003858D1" w14:paraId="38365B7D" w14:textId="77777777" w:rsidTr="003858D1">
        <w:tc>
          <w:tcPr>
            <w:tcW w:w="3209" w:type="dxa"/>
          </w:tcPr>
          <w:p w14:paraId="4D55FB54" w14:textId="65D72FCA" w:rsidR="003858D1" w:rsidRPr="002C4B72" w:rsidRDefault="003858D1" w:rsidP="002C4B72">
            <w:pPr>
              <w:pStyle w:val="TAH"/>
              <w:overflowPunct w:val="0"/>
              <w:autoSpaceDE w:val="0"/>
              <w:autoSpaceDN w:val="0"/>
              <w:adjustRightInd w:val="0"/>
              <w:rPr>
                <w:lang w:val="en-US"/>
              </w:rPr>
            </w:pPr>
            <w:r w:rsidRPr="002C4B72">
              <w:rPr>
                <w:lang w:val="en-US"/>
              </w:rPr>
              <w:t>Channel</w:t>
            </w:r>
            <w:r w:rsidR="007F3DA6" w:rsidRPr="002C4B72">
              <w:rPr>
                <w:lang w:val="en-US"/>
              </w:rPr>
              <w:t>/Procedure</w:t>
            </w:r>
          </w:p>
        </w:tc>
        <w:tc>
          <w:tcPr>
            <w:tcW w:w="3210" w:type="dxa"/>
          </w:tcPr>
          <w:p w14:paraId="7697B5E8" w14:textId="7B198523" w:rsidR="003858D1" w:rsidRPr="002C4B72" w:rsidRDefault="002C4B72" w:rsidP="002C4B72">
            <w:pPr>
              <w:pStyle w:val="TAH"/>
              <w:overflowPunct w:val="0"/>
              <w:autoSpaceDE w:val="0"/>
              <w:autoSpaceDN w:val="0"/>
              <w:adjustRightInd w:val="0"/>
              <w:rPr>
                <w:lang w:val="en-US"/>
              </w:rPr>
            </w:pPr>
            <w:r w:rsidRPr="002C4B72">
              <w:rPr>
                <w:lang w:val="en-US"/>
              </w:rPr>
              <w:t>eMTC</w:t>
            </w:r>
          </w:p>
        </w:tc>
        <w:tc>
          <w:tcPr>
            <w:tcW w:w="3210" w:type="dxa"/>
          </w:tcPr>
          <w:p w14:paraId="352A70CE" w14:textId="5CE33F75" w:rsidR="003858D1" w:rsidRPr="002C4B72" w:rsidRDefault="002C4B72" w:rsidP="002C4B72">
            <w:pPr>
              <w:pStyle w:val="TAH"/>
              <w:overflowPunct w:val="0"/>
              <w:autoSpaceDE w:val="0"/>
              <w:autoSpaceDN w:val="0"/>
              <w:adjustRightInd w:val="0"/>
              <w:rPr>
                <w:lang w:val="en-US"/>
              </w:rPr>
            </w:pPr>
            <w:r w:rsidRPr="002C4B72">
              <w:rPr>
                <w:lang w:val="en-US"/>
              </w:rPr>
              <w:t>NB-IoT</w:t>
            </w:r>
          </w:p>
        </w:tc>
      </w:tr>
      <w:tr w:rsidR="003858D1" w14:paraId="7E694DFD" w14:textId="77777777" w:rsidTr="003858D1">
        <w:tc>
          <w:tcPr>
            <w:tcW w:w="3209" w:type="dxa"/>
          </w:tcPr>
          <w:p w14:paraId="18609D49" w14:textId="4C3356BE" w:rsidR="003858D1" w:rsidRPr="002C4B72" w:rsidRDefault="007F3DA6" w:rsidP="002C4B72">
            <w:pPr>
              <w:pStyle w:val="TAC"/>
              <w:overflowPunct w:val="0"/>
              <w:autoSpaceDE w:val="0"/>
              <w:autoSpaceDN w:val="0"/>
              <w:adjustRightInd w:val="0"/>
              <w:rPr>
                <w:lang w:val="en-US"/>
              </w:rPr>
            </w:pPr>
            <w:r w:rsidRPr="002C4B72">
              <w:rPr>
                <w:lang w:val="en-US"/>
              </w:rPr>
              <w:t>Synchronization</w:t>
            </w:r>
          </w:p>
        </w:tc>
        <w:tc>
          <w:tcPr>
            <w:tcW w:w="3210" w:type="dxa"/>
          </w:tcPr>
          <w:p w14:paraId="4D7EA8F3" w14:textId="1C6622A2" w:rsidR="003858D1" w:rsidRPr="002C4B72" w:rsidRDefault="002C4B72" w:rsidP="002C4B72">
            <w:pPr>
              <w:pStyle w:val="TAC"/>
              <w:overflowPunct w:val="0"/>
              <w:autoSpaceDE w:val="0"/>
              <w:autoSpaceDN w:val="0"/>
              <w:adjustRightInd w:val="0"/>
              <w:rPr>
                <w:lang w:val="en-US"/>
              </w:rPr>
            </w:pPr>
            <w:r>
              <w:rPr>
                <w:lang w:val="en-US"/>
              </w:rPr>
              <w:t>Not modelled</w:t>
            </w:r>
          </w:p>
        </w:tc>
        <w:tc>
          <w:tcPr>
            <w:tcW w:w="3210" w:type="dxa"/>
          </w:tcPr>
          <w:p w14:paraId="0F244B4C" w14:textId="2682DCA8" w:rsidR="003858D1" w:rsidRPr="002C4B72" w:rsidRDefault="002C4B72" w:rsidP="002C4B72">
            <w:pPr>
              <w:pStyle w:val="TAC"/>
              <w:overflowPunct w:val="0"/>
              <w:autoSpaceDE w:val="0"/>
              <w:autoSpaceDN w:val="0"/>
              <w:adjustRightInd w:val="0"/>
              <w:rPr>
                <w:lang w:val="en-US"/>
              </w:rPr>
            </w:pPr>
            <w:r>
              <w:rPr>
                <w:lang w:val="en-US"/>
              </w:rPr>
              <w:t>Not modelled</w:t>
            </w:r>
            <w:r w:rsidR="007849DB">
              <w:rPr>
                <w:lang w:val="en-US"/>
              </w:rPr>
              <w:t>, but 15% overhead from NPSS/NSSS</w:t>
            </w:r>
            <w:r>
              <w:rPr>
                <w:lang w:val="en-US"/>
              </w:rPr>
              <w:t xml:space="preserve"> </w:t>
            </w:r>
            <w:r w:rsidR="007849DB">
              <w:rPr>
                <w:lang w:val="en-US"/>
              </w:rPr>
              <w:t>taken into account on</w:t>
            </w:r>
            <w:r>
              <w:rPr>
                <w:lang w:val="en-US"/>
              </w:rPr>
              <w:t xml:space="preserve"> anchor.</w:t>
            </w:r>
          </w:p>
        </w:tc>
      </w:tr>
      <w:tr w:rsidR="003858D1" w14:paraId="246868BE" w14:textId="77777777" w:rsidTr="003858D1">
        <w:tc>
          <w:tcPr>
            <w:tcW w:w="3209" w:type="dxa"/>
          </w:tcPr>
          <w:p w14:paraId="28E1E9A2" w14:textId="0AC3A024" w:rsidR="003858D1" w:rsidRPr="002C4B72" w:rsidRDefault="007F3DA6" w:rsidP="002C4B72">
            <w:pPr>
              <w:pStyle w:val="TAC"/>
              <w:overflowPunct w:val="0"/>
              <w:autoSpaceDE w:val="0"/>
              <w:autoSpaceDN w:val="0"/>
              <w:adjustRightInd w:val="0"/>
              <w:rPr>
                <w:lang w:val="en-US"/>
              </w:rPr>
            </w:pPr>
            <w:r w:rsidRPr="002C4B72">
              <w:rPr>
                <w:lang w:val="en-US"/>
              </w:rPr>
              <w:t>System information acquisition</w:t>
            </w:r>
          </w:p>
        </w:tc>
        <w:tc>
          <w:tcPr>
            <w:tcW w:w="3210" w:type="dxa"/>
          </w:tcPr>
          <w:p w14:paraId="7DCCB61A" w14:textId="06E900F1" w:rsidR="003858D1" w:rsidRPr="002C4B72" w:rsidRDefault="002C4B72" w:rsidP="002C4B72">
            <w:pPr>
              <w:pStyle w:val="TAC"/>
              <w:overflowPunct w:val="0"/>
              <w:autoSpaceDE w:val="0"/>
              <w:autoSpaceDN w:val="0"/>
              <w:adjustRightInd w:val="0"/>
              <w:rPr>
                <w:lang w:val="en-US"/>
              </w:rPr>
            </w:pPr>
            <w:r>
              <w:rPr>
                <w:lang w:val="en-US"/>
              </w:rPr>
              <w:t>Not modelled</w:t>
            </w:r>
          </w:p>
        </w:tc>
        <w:tc>
          <w:tcPr>
            <w:tcW w:w="3210" w:type="dxa"/>
          </w:tcPr>
          <w:p w14:paraId="317303E0" w14:textId="2994DD7B" w:rsidR="003858D1" w:rsidRPr="002C4B72" w:rsidRDefault="007849DB" w:rsidP="002C4B72">
            <w:pPr>
              <w:pStyle w:val="TAC"/>
              <w:overflowPunct w:val="0"/>
              <w:autoSpaceDE w:val="0"/>
              <w:autoSpaceDN w:val="0"/>
              <w:adjustRightInd w:val="0"/>
              <w:rPr>
                <w:lang w:val="en-US"/>
              </w:rPr>
            </w:pPr>
            <w:r>
              <w:rPr>
                <w:lang w:val="en-US"/>
              </w:rPr>
              <w:t>Not modelled, but 1</w:t>
            </w:r>
            <w:r w:rsidR="00E47E5A">
              <w:rPr>
                <w:lang w:val="en-US"/>
              </w:rPr>
              <w:t>0</w:t>
            </w:r>
            <w:r>
              <w:rPr>
                <w:lang w:val="en-US"/>
              </w:rPr>
              <w:t>% overhead from NPBCH taken into account on anchor.</w:t>
            </w:r>
          </w:p>
        </w:tc>
      </w:tr>
      <w:tr w:rsidR="0005675C" w14:paraId="5DACCDAD" w14:textId="77777777" w:rsidTr="008F62DC">
        <w:tc>
          <w:tcPr>
            <w:tcW w:w="3209" w:type="dxa"/>
          </w:tcPr>
          <w:p w14:paraId="4636144D" w14:textId="77777777" w:rsidR="0005675C" w:rsidRPr="002C4B72" w:rsidRDefault="0005675C" w:rsidP="008F62DC">
            <w:pPr>
              <w:pStyle w:val="TAC"/>
              <w:overflowPunct w:val="0"/>
              <w:autoSpaceDE w:val="0"/>
              <w:autoSpaceDN w:val="0"/>
              <w:adjustRightInd w:val="0"/>
              <w:rPr>
                <w:lang w:val="en-US"/>
              </w:rPr>
            </w:pPr>
            <w:r w:rsidRPr="002C4B72">
              <w:rPr>
                <w:lang w:val="en-US"/>
              </w:rPr>
              <w:t>Paging</w:t>
            </w:r>
          </w:p>
        </w:tc>
        <w:tc>
          <w:tcPr>
            <w:tcW w:w="3210" w:type="dxa"/>
          </w:tcPr>
          <w:p w14:paraId="23B5B7EC" w14:textId="77777777" w:rsidR="0005675C" w:rsidRPr="002C4B72" w:rsidRDefault="0005675C" w:rsidP="008F62DC">
            <w:pPr>
              <w:pStyle w:val="TAC"/>
              <w:overflowPunct w:val="0"/>
              <w:autoSpaceDE w:val="0"/>
              <w:autoSpaceDN w:val="0"/>
              <w:adjustRightInd w:val="0"/>
              <w:rPr>
                <w:lang w:val="en-US"/>
              </w:rPr>
            </w:pPr>
            <w:r>
              <w:rPr>
                <w:lang w:val="en-US"/>
              </w:rPr>
              <w:t>Not modelled</w:t>
            </w:r>
          </w:p>
        </w:tc>
        <w:tc>
          <w:tcPr>
            <w:tcW w:w="3210" w:type="dxa"/>
          </w:tcPr>
          <w:p w14:paraId="0D5DAC6F" w14:textId="77777777" w:rsidR="0005675C" w:rsidRPr="002C4B72" w:rsidRDefault="0005675C" w:rsidP="008F62DC">
            <w:pPr>
              <w:pStyle w:val="TAC"/>
              <w:overflowPunct w:val="0"/>
              <w:autoSpaceDE w:val="0"/>
              <w:autoSpaceDN w:val="0"/>
              <w:adjustRightInd w:val="0"/>
              <w:rPr>
                <w:lang w:val="en-US"/>
              </w:rPr>
            </w:pPr>
            <w:r>
              <w:rPr>
                <w:lang w:val="en-US"/>
              </w:rPr>
              <w:t>Not modelled</w:t>
            </w:r>
          </w:p>
        </w:tc>
      </w:tr>
      <w:tr w:rsidR="003858D1" w14:paraId="22CCB525" w14:textId="77777777" w:rsidTr="003858D1">
        <w:tc>
          <w:tcPr>
            <w:tcW w:w="3209" w:type="dxa"/>
          </w:tcPr>
          <w:p w14:paraId="5486F59F" w14:textId="3BCE4181" w:rsidR="003858D1" w:rsidRPr="002C4B72" w:rsidRDefault="005475EE" w:rsidP="002C4B72">
            <w:pPr>
              <w:pStyle w:val="TAC"/>
              <w:overflowPunct w:val="0"/>
              <w:autoSpaceDE w:val="0"/>
              <w:autoSpaceDN w:val="0"/>
              <w:adjustRightInd w:val="0"/>
              <w:rPr>
                <w:lang w:val="en-US"/>
              </w:rPr>
            </w:pPr>
            <w:r>
              <w:rPr>
                <w:lang w:val="en-US"/>
              </w:rPr>
              <w:t>Random access</w:t>
            </w:r>
          </w:p>
        </w:tc>
        <w:tc>
          <w:tcPr>
            <w:tcW w:w="3210" w:type="dxa"/>
          </w:tcPr>
          <w:p w14:paraId="5889C23B" w14:textId="0CA0D008" w:rsidR="003858D1" w:rsidRPr="002C4B72" w:rsidRDefault="005475EE" w:rsidP="002C4B72">
            <w:pPr>
              <w:pStyle w:val="TAC"/>
              <w:overflowPunct w:val="0"/>
              <w:autoSpaceDE w:val="0"/>
              <w:autoSpaceDN w:val="0"/>
              <w:adjustRightInd w:val="0"/>
              <w:rPr>
                <w:lang w:val="en-US"/>
              </w:rPr>
            </w:pPr>
            <w:r>
              <w:rPr>
                <w:lang w:val="en-US"/>
              </w:rPr>
              <w:t>Rel-13 compliant model.</w:t>
            </w:r>
            <w:r w:rsidR="00916829">
              <w:rPr>
                <w:lang w:val="en-US"/>
              </w:rPr>
              <w:t xml:space="preserve"> Configured with 4 CE levels.</w:t>
            </w:r>
            <w:r w:rsidR="00444FB1">
              <w:rPr>
                <w:lang w:val="en-US"/>
              </w:rPr>
              <w:t xml:space="preserve"> Collisions modelled.</w:t>
            </w:r>
          </w:p>
        </w:tc>
        <w:tc>
          <w:tcPr>
            <w:tcW w:w="3210" w:type="dxa"/>
          </w:tcPr>
          <w:p w14:paraId="37ED39BC" w14:textId="05FBC1F8" w:rsidR="003858D1" w:rsidRPr="002C4B72" w:rsidRDefault="005475EE" w:rsidP="002C4B72">
            <w:pPr>
              <w:pStyle w:val="TAC"/>
              <w:overflowPunct w:val="0"/>
              <w:autoSpaceDE w:val="0"/>
              <w:autoSpaceDN w:val="0"/>
              <w:adjustRightInd w:val="0"/>
              <w:rPr>
                <w:lang w:val="en-US"/>
              </w:rPr>
            </w:pPr>
            <w:r>
              <w:rPr>
                <w:lang w:val="en-US"/>
              </w:rPr>
              <w:t>Rel-13 compliant model. Configured with 3 CE levels.</w:t>
            </w:r>
            <w:r w:rsidR="00444FB1">
              <w:rPr>
                <w:lang w:val="en-US"/>
              </w:rPr>
              <w:t xml:space="preserve"> Collisions modelled.</w:t>
            </w:r>
          </w:p>
        </w:tc>
      </w:tr>
      <w:tr w:rsidR="003858D1" w14:paraId="3DD52D9C" w14:textId="77777777" w:rsidTr="003858D1">
        <w:tc>
          <w:tcPr>
            <w:tcW w:w="3209" w:type="dxa"/>
          </w:tcPr>
          <w:p w14:paraId="6327FFE4" w14:textId="528CDE3D" w:rsidR="003858D1" w:rsidRPr="002C4B72" w:rsidRDefault="007F3DA6" w:rsidP="002C4B72">
            <w:pPr>
              <w:pStyle w:val="TAC"/>
              <w:overflowPunct w:val="0"/>
              <w:autoSpaceDE w:val="0"/>
              <w:autoSpaceDN w:val="0"/>
              <w:adjustRightInd w:val="0"/>
              <w:rPr>
                <w:lang w:val="en-US"/>
              </w:rPr>
            </w:pPr>
            <w:r w:rsidRPr="002C4B72">
              <w:rPr>
                <w:lang w:val="en-US"/>
              </w:rPr>
              <w:t>PDCCH</w:t>
            </w:r>
          </w:p>
        </w:tc>
        <w:tc>
          <w:tcPr>
            <w:tcW w:w="3210" w:type="dxa"/>
          </w:tcPr>
          <w:p w14:paraId="1090B24F" w14:textId="10597902" w:rsidR="003858D1" w:rsidRPr="002C4B72" w:rsidRDefault="00AC5FF4" w:rsidP="002C4B72">
            <w:pPr>
              <w:pStyle w:val="TAC"/>
              <w:overflowPunct w:val="0"/>
              <w:autoSpaceDE w:val="0"/>
              <w:autoSpaceDN w:val="0"/>
              <w:adjustRightInd w:val="0"/>
              <w:rPr>
                <w:lang w:val="en-US"/>
              </w:rPr>
            </w:pPr>
            <w:r>
              <w:rPr>
                <w:lang w:val="en-US"/>
              </w:rPr>
              <w:t>Rel-13 compliant model</w:t>
            </w:r>
            <w:r w:rsidR="00444FB1">
              <w:rPr>
                <w:lang w:val="en-US"/>
              </w:rPr>
              <w:t>.</w:t>
            </w:r>
          </w:p>
        </w:tc>
        <w:tc>
          <w:tcPr>
            <w:tcW w:w="3210" w:type="dxa"/>
          </w:tcPr>
          <w:p w14:paraId="1A154A6E" w14:textId="256A7EB3" w:rsidR="003858D1" w:rsidRPr="002C4B72" w:rsidRDefault="00AC5FF4" w:rsidP="002C4B72">
            <w:pPr>
              <w:pStyle w:val="TAC"/>
              <w:overflowPunct w:val="0"/>
              <w:autoSpaceDE w:val="0"/>
              <w:autoSpaceDN w:val="0"/>
              <w:adjustRightInd w:val="0"/>
              <w:rPr>
                <w:lang w:val="en-US"/>
              </w:rPr>
            </w:pPr>
            <w:r>
              <w:rPr>
                <w:lang w:val="en-US"/>
              </w:rPr>
              <w:t>Rel-13 compliant model</w:t>
            </w:r>
          </w:p>
        </w:tc>
      </w:tr>
      <w:tr w:rsidR="007F3DA6" w14:paraId="1BB3516A" w14:textId="77777777" w:rsidTr="003858D1">
        <w:tc>
          <w:tcPr>
            <w:tcW w:w="3209" w:type="dxa"/>
          </w:tcPr>
          <w:p w14:paraId="4B021754" w14:textId="2577B97C" w:rsidR="007F3DA6" w:rsidRPr="002C4B72" w:rsidRDefault="007F3DA6" w:rsidP="002C4B72">
            <w:pPr>
              <w:pStyle w:val="TAC"/>
              <w:overflowPunct w:val="0"/>
              <w:autoSpaceDE w:val="0"/>
              <w:autoSpaceDN w:val="0"/>
              <w:adjustRightInd w:val="0"/>
              <w:rPr>
                <w:lang w:val="en-US"/>
              </w:rPr>
            </w:pPr>
            <w:r w:rsidRPr="002C4B72">
              <w:rPr>
                <w:lang w:val="en-US"/>
              </w:rPr>
              <w:t>PDSCH</w:t>
            </w:r>
          </w:p>
        </w:tc>
        <w:tc>
          <w:tcPr>
            <w:tcW w:w="3210" w:type="dxa"/>
          </w:tcPr>
          <w:p w14:paraId="2A45C104" w14:textId="54D31B11" w:rsidR="007F3DA6" w:rsidRPr="002C4B72" w:rsidRDefault="00AC5FF4" w:rsidP="002C4B72">
            <w:pPr>
              <w:pStyle w:val="TAC"/>
              <w:overflowPunct w:val="0"/>
              <w:autoSpaceDE w:val="0"/>
              <w:autoSpaceDN w:val="0"/>
              <w:adjustRightInd w:val="0"/>
              <w:rPr>
                <w:lang w:val="en-US"/>
              </w:rPr>
            </w:pPr>
            <w:r>
              <w:rPr>
                <w:lang w:val="en-US"/>
              </w:rPr>
              <w:t>Rel-13 compliant model</w:t>
            </w:r>
          </w:p>
        </w:tc>
        <w:tc>
          <w:tcPr>
            <w:tcW w:w="3210" w:type="dxa"/>
          </w:tcPr>
          <w:p w14:paraId="510A8594" w14:textId="41C22BA6" w:rsidR="007F3DA6" w:rsidRPr="002C4B72" w:rsidRDefault="00AC5FF4" w:rsidP="002C4B72">
            <w:pPr>
              <w:pStyle w:val="TAC"/>
              <w:overflowPunct w:val="0"/>
              <w:autoSpaceDE w:val="0"/>
              <w:autoSpaceDN w:val="0"/>
              <w:adjustRightInd w:val="0"/>
              <w:rPr>
                <w:lang w:val="en-US"/>
              </w:rPr>
            </w:pPr>
            <w:r>
              <w:rPr>
                <w:lang w:val="en-US"/>
              </w:rPr>
              <w:t>Rel-13 compliant model</w:t>
            </w:r>
          </w:p>
        </w:tc>
      </w:tr>
      <w:tr w:rsidR="007F3DA6" w14:paraId="5D720AD8" w14:textId="77777777" w:rsidTr="003858D1">
        <w:tc>
          <w:tcPr>
            <w:tcW w:w="3209" w:type="dxa"/>
          </w:tcPr>
          <w:p w14:paraId="1738206A" w14:textId="2C1742B2" w:rsidR="007F3DA6" w:rsidRPr="002C4B72" w:rsidRDefault="007F3DA6" w:rsidP="002C4B72">
            <w:pPr>
              <w:pStyle w:val="TAC"/>
              <w:overflowPunct w:val="0"/>
              <w:autoSpaceDE w:val="0"/>
              <w:autoSpaceDN w:val="0"/>
              <w:adjustRightInd w:val="0"/>
              <w:rPr>
                <w:lang w:val="en-US"/>
              </w:rPr>
            </w:pPr>
            <w:r w:rsidRPr="002C4B72">
              <w:rPr>
                <w:lang w:val="en-US"/>
              </w:rPr>
              <w:t>PUSCH</w:t>
            </w:r>
          </w:p>
        </w:tc>
        <w:tc>
          <w:tcPr>
            <w:tcW w:w="3210" w:type="dxa"/>
          </w:tcPr>
          <w:p w14:paraId="5F403AB4" w14:textId="51115C4A" w:rsidR="007F3DA6" w:rsidRPr="002C4B72" w:rsidRDefault="00AC5FF4" w:rsidP="002C4B72">
            <w:pPr>
              <w:pStyle w:val="TAC"/>
              <w:overflowPunct w:val="0"/>
              <w:autoSpaceDE w:val="0"/>
              <w:autoSpaceDN w:val="0"/>
              <w:adjustRightInd w:val="0"/>
              <w:rPr>
                <w:lang w:val="en-US"/>
              </w:rPr>
            </w:pPr>
            <w:r>
              <w:rPr>
                <w:lang w:val="en-US"/>
              </w:rPr>
              <w:t>Rel-13 compliant model</w:t>
            </w:r>
          </w:p>
        </w:tc>
        <w:tc>
          <w:tcPr>
            <w:tcW w:w="3210" w:type="dxa"/>
          </w:tcPr>
          <w:p w14:paraId="3E18EE12" w14:textId="220E6CAF" w:rsidR="007F3DA6" w:rsidRPr="002C4B72" w:rsidRDefault="00AC5FF4" w:rsidP="002C4B72">
            <w:pPr>
              <w:pStyle w:val="TAC"/>
              <w:overflowPunct w:val="0"/>
              <w:autoSpaceDE w:val="0"/>
              <w:autoSpaceDN w:val="0"/>
              <w:adjustRightInd w:val="0"/>
              <w:rPr>
                <w:lang w:val="en-US"/>
              </w:rPr>
            </w:pPr>
            <w:r>
              <w:rPr>
                <w:lang w:val="en-US"/>
              </w:rPr>
              <w:t>Rel-13 compliant model</w:t>
            </w:r>
          </w:p>
        </w:tc>
      </w:tr>
      <w:tr w:rsidR="003858D1" w14:paraId="7787EDE0" w14:textId="77777777" w:rsidTr="003858D1">
        <w:tc>
          <w:tcPr>
            <w:tcW w:w="3209" w:type="dxa"/>
          </w:tcPr>
          <w:p w14:paraId="364396BC" w14:textId="036626E3" w:rsidR="003858D1" w:rsidRPr="002C4B72" w:rsidRDefault="007F3DA6" w:rsidP="002C4B72">
            <w:pPr>
              <w:pStyle w:val="TAC"/>
              <w:overflowPunct w:val="0"/>
              <w:autoSpaceDE w:val="0"/>
              <w:autoSpaceDN w:val="0"/>
              <w:adjustRightInd w:val="0"/>
              <w:rPr>
                <w:lang w:val="en-US"/>
              </w:rPr>
            </w:pPr>
            <w:r w:rsidRPr="002C4B72">
              <w:rPr>
                <w:lang w:val="en-US"/>
              </w:rPr>
              <w:t>HARQ feedback</w:t>
            </w:r>
          </w:p>
        </w:tc>
        <w:tc>
          <w:tcPr>
            <w:tcW w:w="3210" w:type="dxa"/>
          </w:tcPr>
          <w:p w14:paraId="59FA74B3" w14:textId="414FC70B" w:rsidR="003858D1" w:rsidRPr="002C4B72" w:rsidRDefault="00AC5FF4" w:rsidP="002C4B72">
            <w:pPr>
              <w:pStyle w:val="TAC"/>
              <w:overflowPunct w:val="0"/>
              <w:autoSpaceDE w:val="0"/>
              <w:autoSpaceDN w:val="0"/>
              <w:adjustRightInd w:val="0"/>
              <w:rPr>
                <w:lang w:val="en-US"/>
              </w:rPr>
            </w:pPr>
            <w:r>
              <w:rPr>
                <w:lang w:val="en-US"/>
              </w:rPr>
              <w:t>Error free PUCCH feedback</w:t>
            </w:r>
          </w:p>
        </w:tc>
        <w:tc>
          <w:tcPr>
            <w:tcW w:w="3210" w:type="dxa"/>
          </w:tcPr>
          <w:p w14:paraId="785BDF06" w14:textId="58B3CFF0" w:rsidR="003858D1" w:rsidRPr="002C4B72" w:rsidRDefault="00AC5FF4" w:rsidP="002C4B72">
            <w:pPr>
              <w:pStyle w:val="TAC"/>
              <w:overflowPunct w:val="0"/>
              <w:autoSpaceDE w:val="0"/>
              <w:autoSpaceDN w:val="0"/>
              <w:adjustRightInd w:val="0"/>
              <w:rPr>
                <w:lang w:val="en-US"/>
              </w:rPr>
            </w:pPr>
            <w:r>
              <w:rPr>
                <w:lang w:val="en-US"/>
              </w:rPr>
              <w:t>Error free NPUSCH F2 feedback</w:t>
            </w:r>
          </w:p>
        </w:tc>
      </w:tr>
    </w:tbl>
    <w:p w14:paraId="0D8E7DDE" w14:textId="78917004" w:rsidR="00B62961" w:rsidRDefault="00563146" w:rsidP="00B62961">
      <w:pPr>
        <w:pStyle w:val="Heading2"/>
        <w:numPr>
          <w:ilvl w:val="1"/>
          <w:numId w:val="49"/>
        </w:numPr>
        <w:textAlignment w:val="auto"/>
      </w:pPr>
      <w:r>
        <w:t>P</w:t>
      </w:r>
      <w:r w:rsidR="00B62961">
        <w:t>erformance</w:t>
      </w:r>
    </w:p>
    <w:p w14:paraId="7E8336B2" w14:textId="0AD64493" w:rsidR="00563146" w:rsidRPr="00563146" w:rsidRDefault="00563146" w:rsidP="00563146">
      <w:pPr>
        <w:pStyle w:val="Heading3"/>
      </w:pPr>
      <w:r>
        <w:t>Connection density</w:t>
      </w:r>
    </w:p>
    <w:p w14:paraId="78E42302" w14:textId="63FAE7B9" w:rsidR="00452B22" w:rsidRDefault="00452B22" w:rsidP="00452B22">
      <w:pPr>
        <w:rPr>
          <w:rFonts w:ascii="Arial" w:hAnsi="Arial" w:cs="Arial"/>
          <w:sz w:val="20"/>
        </w:rPr>
      </w:pPr>
      <w:r w:rsidRPr="00EF2B93">
        <w:rPr>
          <w:rFonts w:ascii="Arial" w:hAnsi="Arial" w:cs="Arial"/>
          <w:sz w:val="20"/>
        </w:rPr>
        <w:t xml:space="preserve">The </w:t>
      </w:r>
      <w:r w:rsidR="00EF2B93" w:rsidRPr="00EF2B93">
        <w:rPr>
          <w:rFonts w:ascii="Arial" w:hAnsi="Arial" w:cs="Arial"/>
          <w:sz w:val="20"/>
        </w:rPr>
        <w:t xml:space="preserve">connection density </w:t>
      </w:r>
      <w:r w:rsidR="00EF2B93">
        <w:rPr>
          <w:rFonts w:ascii="Arial" w:hAnsi="Arial" w:cs="Arial"/>
          <w:sz w:val="20"/>
        </w:rPr>
        <w:t>achieved</w:t>
      </w:r>
      <w:r w:rsidR="008809C8">
        <w:rPr>
          <w:rFonts w:ascii="Arial" w:hAnsi="Arial" w:cs="Arial"/>
          <w:sz w:val="20"/>
        </w:rPr>
        <w:t xml:space="preserve"> for an eMTC narrowband</w:t>
      </w:r>
      <w:r w:rsidR="00FA5EBC">
        <w:rPr>
          <w:rFonts w:ascii="Arial" w:hAnsi="Arial" w:cs="Arial"/>
          <w:sz w:val="20"/>
        </w:rPr>
        <w:t>, i.e. 6 PRB,</w:t>
      </w:r>
      <w:r w:rsidR="008809C8">
        <w:rPr>
          <w:rFonts w:ascii="Arial" w:hAnsi="Arial" w:cs="Arial"/>
          <w:sz w:val="20"/>
        </w:rPr>
        <w:t xml:space="preserve"> and for a NB-IoT PRB</w:t>
      </w:r>
      <w:r w:rsidR="00EF2B93">
        <w:rPr>
          <w:rFonts w:ascii="Arial" w:hAnsi="Arial" w:cs="Arial"/>
          <w:sz w:val="20"/>
        </w:rPr>
        <w:t xml:space="preserve"> at the 1% service outage is presented in </w:t>
      </w:r>
      <w:r w:rsidR="00EF2B93">
        <w:rPr>
          <w:rFonts w:ascii="Arial" w:hAnsi="Arial" w:cs="Arial"/>
          <w:sz w:val="20"/>
        </w:rPr>
        <w:fldChar w:fldCharType="begin"/>
      </w:r>
      <w:r w:rsidR="00EF2B93">
        <w:rPr>
          <w:rFonts w:ascii="Arial" w:hAnsi="Arial" w:cs="Arial"/>
          <w:sz w:val="20"/>
        </w:rPr>
        <w:instrText xml:space="preserve"> REF _Ref474705111 \h </w:instrText>
      </w:r>
      <w:r w:rsidR="00EF2B93">
        <w:rPr>
          <w:rFonts w:ascii="Arial" w:hAnsi="Arial" w:cs="Arial"/>
          <w:sz w:val="20"/>
        </w:rPr>
      </w:r>
      <w:r w:rsidR="00EF2B93">
        <w:rPr>
          <w:rFonts w:ascii="Arial" w:hAnsi="Arial" w:cs="Arial"/>
          <w:sz w:val="20"/>
        </w:rPr>
        <w:fldChar w:fldCharType="separate"/>
      </w:r>
      <w:r w:rsidR="00140E5C" w:rsidRPr="008809C8">
        <w:rPr>
          <w:rFonts w:ascii="Arial" w:hAnsi="Arial" w:cs="Arial"/>
          <w:sz w:val="20"/>
        </w:rPr>
        <w:t xml:space="preserve">Table </w:t>
      </w:r>
      <w:r w:rsidR="00140E5C">
        <w:rPr>
          <w:rFonts w:ascii="Arial" w:hAnsi="Arial" w:cs="Arial"/>
          <w:noProof/>
          <w:sz w:val="20"/>
        </w:rPr>
        <w:t>8</w:t>
      </w:r>
      <w:r w:rsidR="00EF2B93">
        <w:rPr>
          <w:rFonts w:ascii="Arial" w:hAnsi="Arial" w:cs="Arial"/>
          <w:sz w:val="20"/>
        </w:rPr>
        <w:fldChar w:fldCharType="end"/>
      </w:r>
      <w:r w:rsidR="008809C8">
        <w:rPr>
          <w:rFonts w:ascii="Arial" w:hAnsi="Arial" w:cs="Arial"/>
          <w:sz w:val="20"/>
        </w:rPr>
        <w:t xml:space="preserve">. </w:t>
      </w:r>
    </w:p>
    <w:p w14:paraId="684F2FAA" w14:textId="38C491CE" w:rsidR="00EF2B93" w:rsidRPr="008809C8" w:rsidRDefault="00EF2B93" w:rsidP="00EF2B93">
      <w:pPr>
        <w:pStyle w:val="Caption"/>
        <w:keepNext/>
        <w:rPr>
          <w:rFonts w:ascii="Arial" w:hAnsi="Arial" w:cs="Arial"/>
          <w:sz w:val="20"/>
        </w:rPr>
      </w:pPr>
      <w:bookmarkStart w:id="12" w:name="_Ref474705111"/>
      <w:r w:rsidRPr="008809C8">
        <w:rPr>
          <w:rFonts w:ascii="Arial" w:hAnsi="Arial" w:cs="Arial"/>
          <w:sz w:val="20"/>
        </w:rPr>
        <w:lastRenderedPageBreak/>
        <w:t xml:space="preserve">Table </w:t>
      </w:r>
      <w:r w:rsidRPr="008809C8">
        <w:rPr>
          <w:rFonts w:ascii="Arial" w:hAnsi="Arial" w:cs="Arial"/>
          <w:sz w:val="20"/>
        </w:rPr>
        <w:fldChar w:fldCharType="begin"/>
      </w:r>
      <w:r w:rsidRPr="008809C8">
        <w:rPr>
          <w:rFonts w:ascii="Arial" w:hAnsi="Arial" w:cs="Arial"/>
          <w:sz w:val="20"/>
        </w:rPr>
        <w:instrText xml:space="preserve"> SEQ Table \* ARABIC </w:instrText>
      </w:r>
      <w:r w:rsidRPr="008809C8">
        <w:rPr>
          <w:rFonts w:ascii="Arial" w:hAnsi="Arial" w:cs="Arial"/>
          <w:sz w:val="20"/>
        </w:rPr>
        <w:fldChar w:fldCharType="separate"/>
      </w:r>
      <w:r w:rsidR="00140E5C">
        <w:rPr>
          <w:rFonts w:ascii="Arial" w:hAnsi="Arial" w:cs="Arial"/>
          <w:noProof/>
          <w:sz w:val="20"/>
        </w:rPr>
        <w:t>8</w:t>
      </w:r>
      <w:r w:rsidRPr="008809C8">
        <w:rPr>
          <w:rFonts w:ascii="Arial" w:hAnsi="Arial" w:cs="Arial"/>
          <w:sz w:val="20"/>
        </w:rPr>
        <w:fldChar w:fldCharType="end"/>
      </w:r>
      <w:bookmarkEnd w:id="12"/>
      <w:r w:rsidR="00805DCF" w:rsidRPr="008809C8">
        <w:rPr>
          <w:rFonts w:ascii="Arial" w:hAnsi="Arial" w:cs="Arial"/>
          <w:sz w:val="20"/>
        </w:rPr>
        <w:t xml:space="preserve"> Connection density.</w:t>
      </w:r>
    </w:p>
    <w:tbl>
      <w:tblPr>
        <w:tblStyle w:val="TableGrid"/>
        <w:tblW w:w="0" w:type="auto"/>
        <w:tblLook w:val="04A0" w:firstRow="1" w:lastRow="0" w:firstColumn="1" w:lastColumn="0" w:noHBand="0" w:noVBand="1"/>
      </w:tblPr>
      <w:tblGrid>
        <w:gridCol w:w="2407"/>
        <w:gridCol w:w="2407"/>
        <w:gridCol w:w="2407"/>
        <w:gridCol w:w="2408"/>
      </w:tblGrid>
      <w:tr w:rsidR="00C446A3" w14:paraId="602198BA" w14:textId="77777777" w:rsidTr="00C446A3">
        <w:tc>
          <w:tcPr>
            <w:tcW w:w="2407" w:type="dxa"/>
          </w:tcPr>
          <w:p w14:paraId="065353C6" w14:textId="49D30784" w:rsidR="00C446A3" w:rsidRPr="00EF2B93" w:rsidRDefault="00C446A3" w:rsidP="00EF2B93">
            <w:pPr>
              <w:pStyle w:val="TAH"/>
              <w:overflowPunct w:val="0"/>
              <w:autoSpaceDE w:val="0"/>
              <w:autoSpaceDN w:val="0"/>
              <w:adjustRightInd w:val="0"/>
              <w:rPr>
                <w:lang w:val="en-US"/>
              </w:rPr>
            </w:pPr>
            <w:r w:rsidRPr="00EF2B93">
              <w:rPr>
                <w:lang w:val="en-US"/>
              </w:rPr>
              <w:t>Case</w:t>
            </w:r>
          </w:p>
        </w:tc>
        <w:tc>
          <w:tcPr>
            <w:tcW w:w="2407" w:type="dxa"/>
          </w:tcPr>
          <w:p w14:paraId="45C17626" w14:textId="295609F5" w:rsidR="00C446A3" w:rsidRPr="00EF2B93" w:rsidRDefault="00C446A3" w:rsidP="00EF2B93">
            <w:pPr>
              <w:pStyle w:val="TAH"/>
              <w:overflowPunct w:val="0"/>
              <w:autoSpaceDE w:val="0"/>
              <w:autoSpaceDN w:val="0"/>
              <w:adjustRightInd w:val="0"/>
              <w:rPr>
                <w:lang w:val="en-US"/>
              </w:rPr>
            </w:pPr>
            <w:r w:rsidRPr="00EF2B93">
              <w:rPr>
                <w:lang w:val="en-US"/>
              </w:rPr>
              <w:t>eMTC narrowband</w:t>
            </w:r>
          </w:p>
        </w:tc>
        <w:tc>
          <w:tcPr>
            <w:tcW w:w="2407" w:type="dxa"/>
          </w:tcPr>
          <w:p w14:paraId="29DE5FE4" w14:textId="11DCED1F" w:rsidR="00C446A3" w:rsidRPr="00EF2B93" w:rsidRDefault="00C446A3" w:rsidP="00EF2B93">
            <w:pPr>
              <w:pStyle w:val="TAH"/>
              <w:overflowPunct w:val="0"/>
              <w:autoSpaceDE w:val="0"/>
              <w:autoSpaceDN w:val="0"/>
              <w:adjustRightInd w:val="0"/>
              <w:rPr>
                <w:lang w:val="en-US"/>
              </w:rPr>
            </w:pPr>
            <w:r w:rsidRPr="00EF2B93">
              <w:rPr>
                <w:lang w:val="en-US"/>
              </w:rPr>
              <w:t>NB-IoT anchor</w:t>
            </w:r>
          </w:p>
        </w:tc>
        <w:tc>
          <w:tcPr>
            <w:tcW w:w="2408" w:type="dxa"/>
          </w:tcPr>
          <w:p w14:paraId="5311777B" w14:textId="2C3090B7" w:rsidR="00C446A3" w:rsidRPr="00EF2B93" w:rsidRDefault="00C446A3" w:rsidP="00EF2B93">
            <w:pPr>
              <w:pStyle w:val="TAH"/>
              <w:overflowPunct w:val="0"/>
              <w:autoSpaceDE w:val="0"/>
              <w:autoSpaceDN w:val="0"/>
              <w:adjustRightInd w:val="0"/>
              <w:rPr>
                <w:lang w:val="en-US"/>
              </w:rPr>
            </w:pPr>
            <w:r w:rsidRPr="00EF2B93">
              <w:rPr>
                <w:lang w:val="en-US"/>
              </w:rPr>
              <w:t>NB-IoT non-anchor</w:t>
            </w:r>
          </w:p>
        </w:tc>
      </w:tr>
      <w:tr w:rsidR="00452B22" w14:paraId="78670077" w14:textId="77777777" w:rsidTr="008F62DC">
        <w:tc>
          <w:tcPr>
            <w:tcW w:w="2407" w:type="dxa"/>
          </w:tcPr>
          <w:p w14:paraId="6D37A15D" w14:textId="16AB73E6" w:rsidR="00452B22" w:rsidRPr="00EF2B93" w:rsidRDefault="00452B22" w:rsidP="00EF2B93">
            <w:pPr>
              <w:pStyle w:val="TAC"/>
              <w:overflowPunct w:val="0"/>
              <w:autoSpaceDE w:val="0"/>
              <w:autoSpaceDN w:val="0"/>
              <w:adjustRightInd w:val="0"/>
              <w:jc w:val="left"/>
              <w:rPr>
                <w:lang w:val="en-US"/>
              </w:rPr>
            </w:pPr>
            <w:r w:rsidRPr="00EF2B93">
              <w:rPr>
                <w:lang w:val="en-US"/>
              </w:rPr>
              <w:t>Connection density @ 1% outage</w:t>
            </w:r>
          </w:p>
        </w:tc>
        <w:tc>
          <w:tcPr>
            <w:tcW w:w="2407" w:type="dxa"/>
          </w:tcPr>
          <w:p w14:paraId="0A366593" w14:textId="090BD1F3" w:rsidR="00452B22" w:rsidRPr="00EF2B93" w:rsidRDefault="00452B22" w:rsidP="00EF2B93">
            <w:pPr>
              <w:pStyle w:val="TAC"/>
              <w:overflowPunct w:val="0"/>
              <w:autoSpaceDE w:val="0"/>
              <w:autoSpaceDN w:val="0"/>
              <w:adjustRightInd w:val="0"/>
              <w:rPr>
                <w:lang w:val="en-US"/>
              </w:rPr>
            </w:pPr>
            <w:r w:rsidRPr="00EF2B93">
              <w:rPr>
                <w:lang w:val="en-US"/>
              </w:rPr>
              <w:t>361 000 devices</w:t>
            </w:r>
            <w:r w:rsidR="008809C8">
              <w:rPr>
                <w:lang w:val="en-US"/>
              </w:rPr>
              <w:t>/km</w:t>
            </w:r>
            <w:r w:rsidR="008809C8" w:rsidRPr="008809C8">
              <w:rPr>
                <w:vertAlign w:val="superscript"/>
                <w:lang w:val="en-US"/>
              </w:rPr>
              <w:t>2</w:t>
            </w:r>
          </w:p>
        </w:tc>
        <w:tc>
          <w:tcPr>
            <w:tcW w:w="2407" w:type="dxa"/>
          </w:tcPr>
          <w:p w14:paraId="63E36462" w14:textId="3BB5001F" w:rsidR="00452B22" w:rsidRPr="00EF2B93" w:rsidRDefault="00452B22" w:rsidP="00EF2B93">
            <w:pPr>
              <w:pStyle w:val="TAC"/>
              <w:overflowPunct w:val="0"/>
              <w:autoSpaceDE w:val="0"/>
              <w:autoSpaceDN w:val="0"/>
              <w:adjustRightInd w:val="0"/>
              <w:rPr>
                <w:lang w:val="en-US"/>
              </w:rPr>
            </w:pPr>
            <w:r w:rsidRPr="00EF2B93">
              <w:rPr>
                <w:lang w:val="en-US"/>
              </w:rPr>
              <w:t>67 000 devices</w:t>
            </w:r>
            <w:r w:rsidR="008809C8">
              <w:rPr>
                <w:lang w:val="en-US"/>
              </w:rPr>
              <w:t>/km</w:t>
            </w:r>
            <w:r w:rsidR="008809C8" w:rsidRPr="008809C8">
              <w:rPr>
                <w:vertAlign w:val="superscript"/>
                <w:lang w:val="en-US"/>
              </w:rPr>
              <w:t>2</w:t>
            </w:r>
          </w:p>
        </w:tc>
        <w:tc>
          <w:tcPr>
            <w:tcW w:w="2408" w:type="dxa"/>
          </w:tcPr>
          <w:p w14:paraId="258EF558" w14:textId="29D26B8C" w:rsidR="00452B22" w:rsidRPr="00EF2B93" w:rsidRDefault="00452B22" w:rsidP="00EF2B93">
            <w:pPr>
              <w:pStyle w:val="TAC"/>
              <w:overflowPunct w:val="0"/>
              <w:autoSpaceDE w:val="0"/>
              <w:autoSpaceDN w:val="0"/>
              <w:adjustRightInd w:val="0"/>
              <w:rPr>
                <w:lang w:val="en-US"/>
              </w:rPr>
            </w:pPr>
            <w:r w:rsidRPr="00EF2B93">
              <w:rPr>
                <w:lang w:val="en-US"/>
              </w:rPr>
              <w:t>110 000 devices</w:t>
            </w:r>
            <w:r w:rsidR="008809C8">
              <w:rPr>
                <w:lang w:val="en-US"/>
              </w:rPr>
              <w:t>/km</w:t>
            </w:r>
            <w:r w:rsidR="008809C8" w:rsidRPr="008809C8">
              <w:rPr>
                <w:vertAlign w:val="superscript"/>
                <w:lang w:val="en-US"/>
              </w:rPr>
              <w:t>2</w:t>
            </w:r>
          </w:p>
        </w:tc>
      </w:tr>
    </w:tbl>
    <w:p w14:paraId="1A470F77" w14:textId="199B38D9" w:rsidR="00230FDD" w:rsidRDefault="00230FDD" w:rsidP="008F62DC"/>
    <w:p w14:paraId="2E0F7499" w14:textId="203F33D0" w:rsidR="008F62DC" w:rsidRDefault="008F62DC" w:rsidP="008F62DC">
      <w:pPr>
        <w:rPr>
          <w:rFonts w:ascii="Arial" w:hAnsi="Arial" w:cs="Arial"/>
          <w:sz w:val="20"/>
        </w:rPr>
      </w:pPr>
      <w:r w:rsidRPr="008E03AC">
        <w:rPr>
          <w:rFonts w:ascii="Arial" w:hAnsi="Arial" w:cs="Arial"/>
          <w:sz w:val="20"/>
        </w:rPr>
        <w:t>In case of eMTC three narrowbands, or totally 18 PRBs are needed to support the targeted mMTC connection density of 1000 000 devices/km</w:t>
      </w:r>
      <w:r w:rsidRPr="008E03AC">
        <w:rPr>
          <w:rFonts w:ascii="Arial" w:hAnsi="Arial" w:cs="Arial"/>
          <w:sz w:val="20"/>
          <w:vertAlign w:val="superscript"/>
        </w:rPr>
        <w:t>2</w:t>
      </w:r>
      <w:r w:rsidRPr="008E03AC">
        <w:rPr>
          <w:rFonts w:ascii="Arial" w:hAnsi="Arial" w:cs="Arial"/>
          <w:sz w:val="20"/>
        </w:rPr>
        <w:t xml:space="preserve">. The assumption is </w:t>
      </w:r>
      <w:r w:rsidR="005E57EA">
        <w:rPr>
          <w:rFonts w:ascii="Arial" w:hAnsi="Arial" w:cs="Arial"/>
          <w:sz w:val="20"/>
        </w:rPr>
        <w:t>here</w:t>
      </w:r>
      <w:r w:rsidRPr="008E03AC">
        <w:rPr>
          <w:rFonts w:ascii="Arial" w:hAnsi="Arial" w:cs="Arial"/>
          <w:sz w:val="20"/>
        </w:rPr>
        <w:t xml:space="preserve"> that all three narrowbands are located outside of the centre six PRBs in the LTE carrier. In case the centre six narrowbands </w:t>
      </w:r>
      <w:r w:rsidR="001C461F">
        <w:rPr>
          <w:rFonts w:ascii="Arial" w:hAnsi="Arial" w:cs="Arial"/>
          <w:sz w:val="20"/>
        </w:rPr>
        <w:t>would be configured</w:t>
      </w:r>
      <w:r>
        <w:rPr>
          <w:rFonts w:ascii="Arial" w:hAnsi="Arial" w:cs="Arial"/>
          <w:sz w:val="20"/>
        </w:rPr>
        <w:t xml:space="preserve"> then overhead from synchronization and system information blocks needs to be accounted for.</w:t>
      </w:r>
      <w:r w:rsidR="005E57EA">
        <w:rPr>
          <w:rFonts w:ascii="Arial" w:hAnsi="Arial" w:cs="Arial"/>
          <w:sz w:val="20"/>
        </w:rPr>
        <w:t xml:space="preserve"> </w:t>
      </w:r>
    </w:p>
    <w:p w14:paraId="6612A527" w14:textId="6F614FFE" w:rsidR="001C461F" w:rsidRDefault="001C461F" w:rsidP="008F62DC">
      <w:pPr>
        <w:rPr>
          <w:rFonts w:ascii="Arial" w:hAnsi="Arial" w:cs="Arial"/>
          <w:sz w:val="20"/>
        </w:rPr>
      </w:pPr>
      <w:r>
        <w:rPr>
          <w:rFonts w:ascii="Arial" w:hAnsi="Arial" w:cs="Arial"/>
          <w:sz w:val="20"/>
        </w:rPr>
        <w:fldChar w:fldCharType="begin"/>
      </w:r>
      <w:r>
        <w:rPr>
          <w:rFonts w:ascii="Arial" w:hAnsi="Arial" w:cs="Arial"/>
          <w:sz w:val="20"/>
        </w:rPr>
        <w:instrText xml:space="preserve"> REF _Ref474707344 \h </w:instrText>
      </w:r>
      <w:r>
        <w:rPr>
          <w:rFonts w:ascii="Arial" w:hAnsi="Arial" w:cs="Arial"/>
          <w:sz w:val="20"/>
        </w:rPr>
      </w:r>
      <w:r>
        <w:rPr>
          <w:rFonts w:ascii="Arial" w:hAnsi="Arial" w:cs="Arial"/>
          <w:sz w:val="20"/>
        </w:rPr>
        <w:fldChar w:fldCharType="separate"/>
      </w:r>
      <w:r w:rsidR="00140E5C" w:rsidRPr="008F62DC">
        <w:rPr>
          <w:rFonts w:ascii="Arial" w:hAnsi="Arial" w:cs="Arial"/>
          <w:sz w:val="20"/>
        </w:rPr>
        <w:t xml:space="preserve">Figure </w:t>
      </w:r>
      <w:r w:rsidR="00140E5C">
        <w:rPr>
          <w:rFonts w:ascii="Arial" w:hAnsi="Arial" w:cs="Arial"/>
          <w:noProof/>
          <w:sz w:val="20"/>
        </w:rPr>
        <w:t>3</w:t>
      </w:r>
      <w:r>
        <w:rPr>
          <w:rFonts w:ascii="Arial" w:hAnsi="Arial" w:cs="Arial"/>
          <w:sz w:val="20"/>
        </w:rPr>
        <w:fldChar w:fldCharType="end"/>
      </w:r>
      <w:r>
        <w:rPr>
          <w:rFonts w:ascii="Arial" w:hAnsi="Arial" w:cs="Arial"/>
          <w:sz w:val="20"/>
        </w:rPr>
        <w:t xml:space="preserve"> depicts the average uplink and downlink resource utilization for up to 50 access attempts per second, which corresponds to a load of  </w:t>
      </w:r>
      <w:r w:rsidR="00A069DE">
        <w:rPr>
          <w:rFonts w:ascii="Arial" w:hAnsi="Arial" w:cs="Arial"/>
          <w:sz w:val="20"/>
        </w:rPr>
        <w:t xml:space="preserve">448 000 </w:t>
      </w:r>
      <w:r>
        <w:rPr>
          <w:rFonts w:ascii="Arial" w:hAnsi="Arial" w:cs="Arial"/>
          <w:sz w:val="20"/>
        </w:rPr>
        <w:t>devices/km</w:t>
      </w:r>
      <w:r w:rsidRPr="00465AC4">
        <w:rPr>
          <w:rFonts w:ascii="Arial" w:hAnsi="Arial" w:cs="Arial"/>
          <w:sz w:val="20"/>
          <w:vertAlign w:val="superscript"/>
        </w:rPr>
        <w:t>2</w:t>
      </w:r>
      <w:r>
        <w:rPr>
          <w:rFonts w:ascii="Arial" w:hAnsi="Arial" w:cs="Arial"/>
          <w:sz w:val="20"/>
        </w:rPr>
        <w:t>.</w:t>
      </w:r>
      <w:r w:rsidR="00A07163">
        <w:rPr>
          <w:rFonts w:ascii="Arial" w:hAnsi="Arial" w:cs="Arial"/>
          <w:sz w:val="20"/>
        </w:rPr>
        <w:t xml:space="preserve"> Above the load of 361 00 devices/km</w:t>
      </w:r>
      <w:r w:rsidR="00A07163" w:rsidRPr="00465AC4">
        <w:rPr>
          <w:rFonts w:ascii="Arial" w:hAnsi="Arial" w:cs="Arial"/>
          <w:sz w:val="20"/>
          <w:vertAlign w:val="superscript"/>
        </w:rPr>
        <w:t>2</w:t>
      </w:r>
      <w:r w:rsidR="00A07163">
        <w:rPr>
          <w:rFonts w:ascii="Arial" w:hAnsi="Arial" w:cs="Arial"/>
          <w:sz w:val="20"/>
        </w:rPr>
        <w:t xml:space="preserve">, or 40.3 access attempts/s the outage goes beyond 1%. </w:t>
      </w:r>
      <w:r>
        <w:rPr>
          <w:rFonts w:ascii="Arial" w:hAnsi="Arial" w:cs="Arial"/>
          <w:sz w:val="20"/>
        </w:rPr>
        <w:t xml:space="preserve"> It can be seen that the load is balanced across the two link directions, and that the average resource utilization does not exceed </w:t>
      </w:r>
      <w:r w:rsidR="00A07163">
        <w:rPr>
          <w:rFonts w:ascii="Arial" w:hAnsi="Arial" w:cs="Arial"/>
          <w:sz w:val="20"/>
        </w:rPr>
        <w:t>~35</w:t>
      </w:r>
      <w:r>
        <w:rPr>
          <w:rFonts w:ascii="Arial" w:hAnsi="Arial" w:cs="Arial"/>
          <w:sz w:val="20"/>
        </w:rPr>
        <w:t>% of the available resources</w:t>
      </w:r>
      <w:r w:rsidR="00A07163">
        <w:rPr>
          <w:rFonts w:ascii="Arial" w:hAnsi="Arial" w:cs="Arial"/>
          <w:sz w:val="20"/>
        </w:rPr>
        <w:t xml:space="preserve"> at the point of the capacity evaluation</w:t>
      </w:r>
      <w:r>
        <w:rPr>
          <w:rFonts w:ascii="Arial" w:hAnsi="Arial" w:cs="Arial"/>
          <w:sz w:val="20"/>
        </w:rPr>
        <w:t xml:space="preserve">. </w:t>
      </w:r>
      <w:r w:rsidR="00CD7F4D">
        <w:rPr>
          <w:rFonts w:ascii="Arial" w:hAnsi="Arial" w:cs="Arial"/>
          <w:sz w:val="20"/>
        </w:rPr>
        <w:t xml:space="preserve">There are however cells in the simulation where </w:t>
      </w:r>
      <w:r w:rsidR="00A07163">
        <w:rPr>
          <w:rFonts w:ascii="Arial" w:hAnsi="Arial" w:cs="Arial"/>
          <w:sz w:val="20"/>
        </w:rPr>
        <w:t>resource consumption</w:t>
      </w:r>
      <w:r w:rsidR="00CD7F4D">
        <w:rPr>
          <w:rFonts w:ascii="Arial" w:hAnsi="Arial" w:cs="Arial"/>
          <w:sz w:val="20"/>
        </w:rPr>
        <w:t xml:space="preserve"> </w:t>
      </w:r>
      <w:r w:rsidR="0093103F">
        <w:rPr>
          <w:rFonts w:ascii="Arial" w:hAnsi="Arial" w:cs="Arial"/>
          <w:sz w:val="20"/>
        </w:rPr>
        <w:t xml:space="preserve">goes </w:t>
      </w:r>
      <w:r w:rsidR="00CD7F4D">
        <w:rPr>
          <w:rFonts w:ascii="Arial" w:hAnsi="Arial" w:cs="Arial"/>
          <w:sz w:val="20"/>
        </w:rPr>
        <w:t xml:space="preserve">up to 80% </w:t>
      </w:r>
      <w:r w:rsidR="00A07163">
        <w:rPr>
          <w:rFonts w:ascii="Arial" w:hAnsi="Arial" w:cs="Arial"/>
          <w:sz w:val="20"/>
        </w:rPr>
        <w:t>at this access load</w:t>
      </w:r>
      <w:r w:rsidR="00CD7F4D">
        <w:rPr>
          <w:rFonts w:ascii="Arial" w:hAnsi="Arial" w:cs="Arial"/>
          <w:sz w:val="20"/>
        </w:rPr>
        <w:t xml:space="preserve">, due to higher number of devices in extreme coverage conditions. These cells are limiting the overall capacity due to the 1% outage condition, and is the reason why on average </w:t>
      </w:r>
      <w:r w:rsidR="0093103F">
        <w:rPr>
          <w:rFonts w:ascii="Arial" w:hAnsi="Arial" w:cs="Arial"/>
          <w:sz w:val="20"/>
        </w:rPr>
        <w:t>less than</w:t>
      </w:r>
      <w:r w:rsidR="00CD7F4D">
        <w:rPr>
          <w:rFonts w:ascii="Arial" w:hAnsi="Arial" w:cs="Arial"/>
          <w:sz w:val="20"/>
        </w:rPr>
        <w:t xml:space="preserve"> half of the available resources are utilized.</w:t>
      </w:r>
    </w:p>
    <w:p w14:paraId="42304B8F" w14:textId="56A904BB" w:rsidR="008F62DC" w:rsidRDefault="00583840" w:rsidP="009C6705">
      <w:pPr>
        <w:jc w:val="center"/>
        <w:rPr>
          <w:rFonts w:ascii="Arial" w:hAnsi="Arial" w:cs="Arial"/>
          <w:sz w:val="20"/>
        </w:rPr>
      </w:pPr>
      <w:r>
        <w:rPr>
          <w:rFonts w:ascii="Arial" w:hAnsi="Arial" w:cs="Arial"/>
          <w:noProof/>
          <w:sz w:val="20"/>
          <w:lang w:val="en-US" w:eastAsia="en-US"/>
        </w:rPr>
        <w:drawing>
          <wp:inline distT="0" distB="0" distL="0" distR="0" wp14:anchorId="2D276A07" wp14:editId="6C7E39F0">
            <wp:extent cx="5040975" cy="3602438"/>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MTC_capacity.png"/>
                    <pic:cNvPicPr/>
                  </pic:nvPicPr>
                  <pic:blipFill>
                    <a:blip r:embed="rId10">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18530554" w14:textId="54FB3524" w:rsidR="00B83E6F" w:rsidRPr="008F62DC" w:rsidRDefault="008F62DC" w:rsidP="008F62DC">
      <w:pPr>
        <w:pStyle w:val="Caption"/>
        <w:rPr>
          <w:rFonts w:ascii="Arial" w:hAnsi="Arial" w:cs="Arial"/>
          <w:sz w:val="20"/>
        </w:rPr>
      </w:pPr>
      <w:bookmarkStart w:id="13" w:name="_Ref474707344"/>
      <w:r w:rsidRPr="008F62DC">
        <w:rPr>
          <w:rFonts w:ascii="Arial" w:hAnsi="Arial" w:cs="Arial"/>
          <w:sz w:val="20"/>
        </w:rPr>
        <w:t xml:space="preserve">Figure </w:t>
      </w:r>
      <w:r w:rsidRPr="008F62DC">
        <w:rPr>
          <w:rFonts w:ascii="Arial" w:hAnsi="Arial" w:cs="Arial"/>
          <w:sz w:val="20"/>
        </w:rPr>
        <w:fldChar w:fldCharType="begin"/>
      </w:r>
      <w:r w:rsidRPr="008F62DC">
        <w:rPr>
          <w:rFonts w:ascii="Arial" w:hAnsi="Arial" w:cs="Arial"/>
          <w:sz w:val="20"/>
        </w:rPr>
        <w:instrText xml:space="preserve"> SEQ Figure \* ARABIC </w:instrText>
      </w:r>
      <w:r w:rsidRPr="008F62DC">
        <w:rPr>
          <w:rFonts w:ascii="Arial" w:hAnsi="Arial" w:cs="Arial"/>
          <w:sz w:val="20"/>
        </w:rPr>
        <w:fldChar w:fldCharType="separate"/>
      </w:r>
      <w:r w:rsidR="00140E5C">
        <w:rPr>
          <w:rFonts w:ascii="Arial" w:hAnsi="Arial" w:cs="Arial"/>
          <w:noProof/>
          <w:sz w:val="20"/>
        </w:rPr>
        <w:t>3</w:t>
      </w:r>
      <w:r w:rsidRPr="008F62DC">
        <w:rPr>
          <w:rFonts w:ascii="Arial" w:hAnsi="Arial" w:cs="Arial"/>
          <w:sz w:val="20"/>
        </w:rPr>
        <w:fldChar w:fldCharType="end"/>
      </w:r>
      <w:bookmarkEnd w:id="13"/>
      <w:r w:rsidRPr="008F62DC">
        <w:rPr>
          <w:rFonts w:ascii="Arial" w:hAnsi="Arial" w:cs="Arial"/>
          <w:sz w:val="20"/>
        </w:rPr>
        <w:t xml:space="preserve"> eMTC </w:t>
      </w:r>
      <w:r w:rsidR="00E571A1">
        <w:rPr>
          <w:rFonts w:ascii="Arial" w:hAnsi="Arial" w:cs="Arial"/>
          <w:sz w:val="20"/>
        </w:rPr>
        <w:t xml:space="preserve">average </w:t>
      </w:r>
      <w:r w:rsidRPr="008F62DC">
        <w:rPr>
          <w:rFonts w:ascii="Arial" w:hAnsi="Arial" w:cs="Arial"/>
          <w:sz w:val="20"/>
        </w:rPr>
        <w:t>resource utilization.</w:t>
      </w:r>
    </w:p>
    <w:p w14:paraId="3D33E89A" w14:textId="056AD201" w:rsidR="008F62DC" w:rsidRDefault="008F62DC" w:rsidP="008F62DC">
      <w:pPr>
        <w:rPr>
          <w:rFonts w:ascii="Arial" w:hAnsi="Arial" w:cs="Arial"/>
          <w:sz w:val="20"/>
        </w:rPr>
      </w:pPr>
      <w:r>
        <w:rPr>
          <w:rFonts w:ascii="Arial" w:hAnsi="Arial" w:cs="Arial"/>
          <w:sz w:val="20"/>
        </w:rPr>
        <w:t xml:space="preserve">For NB-IoT </w:t>
      </w:r>
      <w:r w:rsidR="00F07AD1">
        <w:rPr>
          <w:rFonts w:ascii="Arial" w:hAnsi="Arial" w:cs="Arial"/>
          <w:sz w:val="20"/>
        </w:rPr>
        <w:fldChar w:fldCharType="begin"/>
      </w:r>
      <w:r w:rsidR="00F07AD1">
        <w:rPr>
          <w:rFonts w:ascii="Arial" w:hAnsi="Arial" w:cs="Arial"/>
          <w:sz w:val="20"/>
        </w:rPr>
        <w:instrText xml:space="preserve"> REF _Ref474705111 \h </w:instrText>
      </w:r>
      <w:r w:rsidR="00F07AD1">
        <w:rPr>
          <w:rFonts w:ascii="Arial" w:hAnsi="Arial" w:cs="Arial"/>
          <w:sz w:val="20"/>
        </w:rPr>
      </w:r>
      <w:r w:rsidR="00F07AD1">
        <w:rPr>
          <w:rFonts w:ascii="Arial" w:hAnsi="Arial" w:cs="Arial"/>
          <w:sz w:val="20"/>
        </w:rPr>
        <w:fldChar w:fldCharType="separate"/>
      </w:r>
      <w:r w:rsidR="00140E5C" w:rsidRPr="008809C8">
        <w:rPr>
          <w:rFonts w:ascii="Arial" w:hAnsi="Arial" w:cs="Arial"/>
          <w:sz w:val="20"/>
        </w:rPr>
        <w:t xml:space="preserve">Table </w:t>
      </w:r>
      <w:r w:rsidR="00140E5C">
        <w:rPr>
          <w:rFonts w:ascii="Arial" w:hAnsi="Arial" w:cs="Arial"/>
          <w:noProof/>
          <w:sz w:val="20"/>
        </w:rPr>
        <w:t>8</w:t>
      </w:r>
      <w:r w:rsidR="00F07AD1">
        <w:rPr>
          <w:rFonts w:ascii="Arial" w:hAnsi="Arial" w:cs="Arial"/>
          <w:sz w:val="20"/>
        </w:rPr>
        <w:fldChar w:fldCharType="end"/>
      </w:r>
      <w:r w:rsidR="00F07AD1">
        <w:rPr>
          <w:rFonts w:ascii="Arial" w:hAnsi="Arial" w:cs="Arial"/>
          <w:sz w:val="20"/>
        </w:rPr>
        <w:t xml:space="preserve"> leads to the conclusion that </w:t>
      </w:r>
      <w:r>
        <w:rPr>
          <w:rFonts w:ascii="Arial" w:hAnsi="Arial" w:cs="Arial"/>
          <w:sz w:val="20"/>
        </w:rPr>
        <w:t>one anchor carrier and 9 non-anchors are required to support</w:t>
      </w:r>
      <w:r w:rsidR="00F07AD1">
        <w:rPr>
          <w:rFonts w:ascii="Arial" w:hAnsi="Arial" w:cs="Arial"/>
          <w:sz w:val="20"/>
        </w:rPr>
        <w:t xml:space="preserve"> the connection density target of 1000 000 devices/km</w:t>
      </w:r>
      <w:r w:rsidR="00F07AD1" w:rsidRPr="00F07AD1">
        <w:rPr>
          <w:rFonts w:ascii="Arial" w:hAnsi="Arial" w:cs="Arial"/>
          <w:sz w:val="20"/>
          <w:vertAlign w:val="superscript"/>
        </w:rPr>
        <w:t>2</w:t>
      </w:r>
      <w:r w:rsidR="00F07AD1">
        <w:rPr>
          <w:rFonts w:ascii="Arial" w:hAnsi="Arial" w:cs="Arial"/>
          <w:sz w:val="20"/>
        </w:rPr>
        <w:t>. The system has due to its flexible uplink scheduling an advantage over eMTC in terms of capacity</w:t>
      </w:r>
      <w:r w:rsidR="005B052A">
        <w:rPr>
          <w:rFonts w:ascii="Arial" w:hAnsi="Arial" w:cs="Arial"/>
          <w:sz w:val="20"/>
        </w:rPr>
        <w:t xml:space="preserve"> for the studied system with </w:t>
      </w:r>
      <w:r w:rsidR="000F1EF6">
        <w:rPr>
          <w:rFonts w:ascii="Arial" w:hAnsi="Arial" w:cs="Arial"/>
          <w:sz w:val="20"/>
        </w:rPr>
        <w:t xml:space="preserve">its </w:t>
      </w:r>
      <w:r w:rsidR="005B052A">
        <w:rPr>
          <w:rFonts w:ascii="Arial" w:hAnsi="Arial" w:cs="Arial"/>
          <w:sz w:val="20"/>
        </w:rPr>
        <w:t>extreme coverage requirements</w:t>
      </w:r>
      <w:r w:rsidR="00F07AD1">
        <w:rPr>
          <w:rFonts w:ascii="Arial" w:hAnsi="Arial" w:cs="Arial"/>
          <w:sz w:val="20"/>
        </w:rPr>
        <w:t xml:space="preserve">. </w:t>
      </w:r>
      <w:r w:rsidR="00E571A1">
        <w:rPr>
          <w:rFonts w:ascii="Arial" w:hAnsi="Arial" w:cs="Arial"/>
          <w:sz w:val="20"/>
        </w:rPr>
        <w:t>This is also seen from the average resource utilization depicted below</w:t>
      </w:r>
      <w:r w:rsidR="00ED1F77">
        <w:rPr>
          <w:rFonts w:ascii="Arial" w:hAnsi="Arial" w:cs="Arial"/>
          <w:sz w:val="20"/>
        </w:rPr>
        <w:t xml:space="preserve"> for the anchor</w:t>
      </w:r>
      <w:r w:rsidR="00E571A1">
        <w:rPr>
          <w:rFonts w:ascii="Arial" w:hAnsi="Arial" w:cs="Arial"/>
          <w:sz w:val="20"/>
        </w:rPr>
        <w:t xml:space="preserve">. While the downlink reaches around </w:t>
      </w:r>
      <w:r w:rsidR="00ED1F77">
        <w:rPr>
          <w:rFonts w:ascii="Arial" w:hAnsi="Arial" w:cs="Arial"/>
          <w:sz w:val="20"/>
        </w:rPr>
        <w:t>~30</w:t>
      </w:r>
      <w:r w:rsidR="00E571A1">
        <w:rPr>
          <w:rFonts w:ascii="Arial" w:hAnsi="Arial" w:cs="Arial"/>
          <w:sz w:val="20"/>
        </w:rPr>
        <w:t xml:space="preserve">% utilization the uplink is only on average using </w:t>
      </w:r>
      <w:r w:rsidR="00ED1F77">
        <w:rPr>
          <w:rFonts w:ascii="Arial" w:hAnsi="Arial" w:cs="Arial"/>
          <w:sz w:val="20"/>
        </w:rPr>
        <w:t>~2</w:t>
      </w:r>
      <w:r w:rsidR="00E571A1">
        <w:rPr>
          <w:rFonts w:ascii="Arial" w:hAnsi="Arial" w:cs="Arial"/>
          <w:sz w:val="20"/>
        </w:rPr>
        <w:t xml:space="preserve">0% of the available resources at the point </w:t>
      </w:r>
      <w:r w:rsidR="00750087">
        <w:rPr>
          <w:rFonts w:ascii="Arial" w:hAnsi="Arial" w:cs="Arial"/>
          <w:sz w:val="20"/>
        </w:rPr>
        <w:t xml:space="preserve">of </w:t>
      </w:r>
      <w:r w:rsidR="00ED1F77">
        <w:rPr>
          <w:rFonts w:ascii="Arial" w:hAnsi="Arial" w:cs="Arial"/>
          <w:sz w:val="20"/>
        </w:rPr>
        <w:t>7.5</w:t>
      </w:r>
      <w:r w:rsidR="00750087">
        <w:rPr>
          <w:rFonts w:ascii="Arial" w:hAnsi="Arial" w:cs="Arial"/>
          <w:sz w:val="20"/>
        </w:rPr>
        <w:t xml:space="preserve"> access attempts/s </w:t>
      </w:r>
      <w:r w:rsidR="00E571A1">
        <w:rPr>
          <w:rFonts w:ascii="Arial" w:hAnsi="Arial" w:cs="Arial"/>
          <w:sz w:val="20"/>
        </w:rPr>
        <w:t xml:space="preserve">where </w:t>
      </w:r>
      <w:r w:rsidR="00ED1F77">
        <w:rPr>
          <w:rFonts w:ascii="Arial" w:hAnsi="Arial" w:cs="Arial"/>
          <w:sz w:val="20"/>
        </w:rPr>
        <w:t>67</w:t>
      </w:r>
      <w:r w:rsidR="007C58C4">
        <w:rPr>
          <w:rFonts w:ascii="Arial" w:hAnsi="Arial" w:cs="Arial"/>
          <w:sz w:val="20"/>
        </w:rPr>
        <w:t xml:space="preserve"> 000</w:t>
      </w:r>
      <w:r w:rsidR="00E571A1">
        <w:rPr>
          <w:rFonts w:ascii="Arial" w:hAnsi="Arial" w:cs="Arial"/>
          <w:sz w:val="20"/>
        </w:rPr>
        <w:t xml:space="preserve"> users are</w:t>
      </w:r>
      <w:r w:rsidR="00750087">
        <w:rPr>
          <w:rFonts w:ascii="Arial" w:hAnsi="Arial" w:cs="Arial"/>
          <w:sz w:val="20"/>
        </w:rPr>
        <w:t xml:space="preserve"> </w:t>
      </w:r>
      <w:r w:rsidR="00E571A1">
        <w:rPr>
          <w:rFonts w:ascii="Arial" w:hAnsi="Arial" w:cs="Arial"/>
          <w:sz w:val="20"/>
        </w:rPr>
        <w:t>served</w:t>
      </w:r>
      <w:r w:rsidR="007C58C4">
        <w:rPr>
          <w:rFonts w:ascii="Arial" w:hAnsi="Arial" w:cs="Arial"/>
          <w:sz w:val="20"/>
        </w:rPr>
        <w:t xml:space="preserve"> by the system</w:t>
      </w:r>
      <w:r w:rsidR="00E571A1">
        <w:rPr>
          <w:rFonts w:ascii="Arial" w:hAnsi="Arial" w:cs="Arial"/>
          <w:sz w:val="20"/>
        </w:rPr>
        <w:t>. As for eMTC the explanation</w:t>
      </w:r>
      <w:r w:rsidR="001A2AC9">
        <w:rPr>
          <w:rFonts w:ascii="Arial" w:hAnsi="Arial" w:cs="Arial"/>
          <w:sz w:val="20"/>
        </w:rPr>
        <w:t xml:space="preserve"> that 1% outage is reached already at this low </w:t>
      </w:r>
      <w:r w:rsidR="002F7D8A">
        <w:rPr>
          <w:rFonts w:ascii="Arial" w:hAnsi="Arial" w:cs="Arial"/>
          <w:sz w:val="20"/>
        </w:rPr>
        <w:t xml:space="preserve">average </w:t>
      </w:r>
      <w:r w:rsidR="001A2AC9">
        <w:rPr>
          <w:rFonts w:ascii="Arial" w:hAnsi="Arial" w:cs="Arial"/>
          <w:sz w:val="20"/>
        </w:rPr>
        <w:t>utilization</w:t>
      </w:r>
      <w:r w:rsidR="00E571A1">
        <w:rPr>
          <w:rFonts w:ascii="Arial" w:hAnsi="Arial" w:cs="Arial"/>
          <w:sz w:val="20"/>
        </w:rPr>
        <w:t xml:space="preserve"> is that </w:t>
      </w:r>
      <w:r w:rsidR="004D4AC5">
        <w:rPr>
          <w:rFonts w:ascii="Arial" w:hAnsi="Arial" w:cs="Arial"/>
          <w:sz w:val="20"/>
        </w:rPr>
        <w:t>in some cells loads as high as 80% are seen, which undermines the overall average system capacity.</w:t>
      </w:r>
    </w:p>
    <w:p w14:paraId="2E5AA643" w14:textId="539A470B" w:rsidR="001A4E3A" w:rsidRPr="00EF2B93" w:rsidRDefault="001A4E3A" w:rsidP="008F62DC">
      <w:pPr>
        <w:rPr>
          <w:rFonts w:ascii="Arial" w:hAnsi="Arial" w:cs="Arial"/>
          <w:sz w:val="20"/>
        </w:rPr>
      </w:pPr>
      <w:r>
        <w:rPr>
          <w:rFonts w:ascii="Arial" w:hAnsi="Arial" w:cs="Arial"/>
          <w:sz w:val="20"/>
        </w:rPr>
        <w:t xml:space="preserve">If also modelling of the system information blocks and paging had been </w:t>
      </w:r>
      <w:r w:rsidR="00AD1EE2">
        <w:rPr>
          <w:rFonts w:ascii="Arial" w:hAnsi="Arial" w:cs="Arial"/>
          <w:sz w:val="20"/>
        </w:rPr>
        <w:t>applied</w:t>
      </w:r>
      <w:r>
        <w:rPr>
          <w:rFonts w:ascii="Arial" w:hAnsi="Arial" w:cs="Arial"/>
          <w:sz w:val="20"/>
        </w:rPr>
        <w:t xml:space="preserve"> the anchor carrier would likely reduce </w:t>
      </w:r>
      <w:r w:rsidR="008D7B13">
        <w:rPr>
          <w:rFonts w:ascii="Arial" w:hAnsi="Arial" w:cs="Arial"/>
          <w:sz w:val="20"/>
        </w:rPr>
        <w:t>the NB-IoT</w:t>
      </w:r>
      <w:r>
        <w:rPr>
          <w:rFonts w:ascii="Arial" w:hAnsi="Arial" w:cs="Arial"/>
          <w:sz w:val="20"/>
        </w:rPr>
        <w:t xml:space="preserve"> capacity somewhat. But this does not change the overall conclusion that NB-IoT is capable of providing the required connection density</w:t>
      </w:r>
      <w:r w:rsidR="009A5A32">
        <w:rPr>
          <w:rFonts w:ascii="Arial" w:hAnsi="Arial" w:cs="Arial"/>
          <w:sz w:val="20"/>
        </w:rPr>
        <w:t xml:space="preserve"> for the herein</w:t>
      </w:r>
      <w:r w:rsidR="00A87678">
        <w:rPr>
          <w:rFonts w:ascii="Arial" w:hAnsi="Arial" w:cs="Arial"/>
          <w:sz w:val="20"/>
        </w:rPr>
        <w:t xml:space="preserve"> made as</w:t>
      </w:r>
      <w:r w:rsidR="00E95FF5">
        <w:rPr>
          <w:rFonts w:ascii="Arial" w:hAnsi="Arial" w:cs="Arial"/>
          <w:sz w:val="20"/>
        </w:rPr>
        <w:t>s</w:t>
      </w:r>
      <w:r w:rsidR="00A87678">
        <w:rPr>
          <w:rFonts w:ascii="Arial" w:hAnsi="Arial" w:cs="Arial"/>
          <w:sz w:val="20"/>
        </w:rPr>
        <w:t>umptions</w:t>
      </w:r>
      <w:r>
        <w:rPr>
          <w:rFonts w:ascii="Arial" w:hAnsi="Arial" w:cs="Arial"/>
          <w:sz w:val="20"/>
        </w:rPr>
        <w:t>.</w:t>
      </w:r>
    </w:p>
    <w:p w14:paraId="22A2FE64" w14:textId="77777777" w:rsidR="008F62DC" w:rsidRDefault="008F62DC" w:rsidP="005A7D6E"/>
    <w:p w14:paraId="6FD351BA" w14:textId="5F36A4AE" w:rsidR="00452B22" w:rsidRDefault="00583840" w:rsidP="00E571A1">
      <w:pPr>
        <w:jc w:val="center"/>
      </w:pPr>
      <w:r>
        <w:rPr>
          <w:noProof/>
          <w:lang w:val="en-US" w:eastAsia="en-US"/>
        </w:rPr>
        <w:lastRenderedPageBreak/>
        <w:drawing>
          <wp:inline distT="0" distB="0" distL="0" distR="0" wp14:anchorId="4E5887CB" wp14:editId="672D9CAB">
            <wp:extent cx="5040975" cy="3602438"/>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B-IoT_capacity.png"/>
                    <pic:cNvPicPr/>
                  </pic:nvPicPr>
                  <pic:blipFill>
                    <a:blip r:embed="rId11">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71114BFD" w14:textId="6D103ACB" w:rsidR="00F07AD1" w:rsidRDefault="00F07AD1" w:rsidP="00F07AD1">
      <w:pPr>
        <w:pStyle w:val="Caption"/>
        <w:rPr>
          <w:rFonts w:ascii="Arial" w:hAnsi="Arial" w:cs="Arial"/>
          <w:sz w:val="20"/>
        </w:rPr>
      </w:pPr>
      <w:r w:rsidRPr="008F62DC">
        <w:rPr>
          <w:rFonts w:ascii="Arial" w:hAnsi="Arial" w:cs="Arial"/>
          <w:sz w:val="20"/>
        </w:rPr>
        <w:t xml:space="preserve">Figure </w:t>
      </w:r>
      <w:r w:rsidRPr="008F62DC">
        <w:rPr>
          <w:rFonts w:ascii="Arial" w:hAnsi="Arial" w:cs="Arial"/>
          <w:sz w:val="20"/>
        </w:rPr>
        <w:fldChar w:fldCharType="begin"/>
      </w:r>
      <w:r w:rsidRPr="008F62DC">
        <w:rPr>
          <w:rFonts w:ascii="Arial" w:hAnsi="Arial" w:cs="Arial"/>
          <w:sz w:val="20"/>
        </w:rPr>
        <w:instrText xml:space="preserve"> SEQ Figure \* ARABIC </w:instrText>
      </w:r>
      <w:r w:rsidRPr="008F62DC">
        <w:rPr>
          <w:rFonts w:ascii="Arial" w:hAnsi="Arial" w:cs="Arial"/>
          <w:sz w:val="20"/>
        </w:rPr>
        <w:fldChar w:fldCharType="separate"/>
      </w:r>
      <w:r w:rsidR="00140E5C">
        <w:rPr>
          <w:rFonts w:ascii="Arial" w:hAnsi="Arial" w:cs="Arial"/>
          <w:noProof/>
          <w:sz w:val="20"/>
        </w:rPr>
        <w:t>4</w:t>
      </w:r>
      <w:r w:rsidRPr="008F62DC">
        <w:rPr>
          <w:rFonts w:ascii="Arial" w:hAnsi="Arial" w:cs="Arial"/>
          <w:sz w:val="20"/>
        </w:rPr>
        <w:fldChar w:fldCharType="end"/>
      </w:r>
      <w:r w:rsidRPr="008F62DC">
        <w:rPr>
          <w:rFonts w:ascii="Arial" w:hAnsi="Arial" w:cs="Arial"/>
          <w:sz w:val="20"/>
        </w:rPr>
        <w:t xml:space="preserve"> </w:t>
      </w:r>
      <w:r>
        <w:rPr>
          <w:rFonts w:ascii="Arial" w:hAnsi="Arial" w:cs="Arial"/>
          <w:sz w:val="20"/>
        </w:rPr>
        <w:t>NB-IoT</w:t>
      </w:r>
      <w:r w:rsidRPr="008F62DC">
        <w:rPr>
          <w:rFonts w:ascii="Arial" w:hAnsi="Arial" w:cs="Arial"/>
          <w:sz w:val="20"/>
        </w:rPr>
        <w:t xml:space="preserve"> </w:t>
      </w:r>
      <w:r w:rsidR="007C58C4">
        <w:rPr>
          <w:rFonts w:ascii="Arial" w:hAnsi="Arial" w:cs="Arial"/>
          <w:sz w:val="20"/>
        </w:rPr>
        <w:t>an</w:t>
      </w:r>
      <w:r w:rsidR="00A67B20">
        <w:rPr>
          <w:rFonts w:ascii="Arial" w:hAnsi="Arial" w:cs="Arial"/>
          <w:sz w:val="20"/>
        </w:rPr>
        <w:t>c</w:t>
      </w:r>
      <w:r w:rsidR="007C58C4">
        <w:rPr>
          <w:rFonts w:ascii="Arial" w:hAnsi="Arial" w:cs="Arial"/>
          <w:sz w:val="20"/>
        </w:rPr>
        <w:t xml:space="preserve">hor </w:t>
      </w:r>
      <w:r w:rsidR="00E571A1">
        <w:rPr>
          <w:rFonts w:ascii="Arial" w:hAnsi="Arial" w:cs="Arial"/>
          <w:sz w:val="20"/>
        </w:rPr>
        <w:t xml:space="preserve">average </w:t>
      </w:r>
      <w:r w:rsidRPr="008F62DC">
        <w:rPr>
          <w:rFonts w:ascii="Arial" w:hAnsi="Arial" w:cs="Arial"/>
          <w:sz w:val="20"/>
        </w:rPr>
        <w:t>resource utilization.</w:t>
      </w:r>
    </w:p>
    <w:p w14:paraId="0A81EDDC" w14:textId="5836327B" w:rsidR="00563146" w:rsidRPr="00563146" w:rsidRDefault="00563146" w:rsidP="00563146">
      <w:pPr>
        <w:pStyle w:val="Heading3"/>
      </w:pPr>
      <w:r>
        <w:t>Service latency</w:t>
      </w:r>
    </w:p>
    <w:p w14:paraId="02EF8DD3" w14:textId="4BC7C308" w:rsidR="00A41460" w:rsidRDefault="00140E5C" w:rsidP="00A41460">
      <w:pPr>
        <w:rPr>
          <w:rFonts w:ascii="Arial" w:hAnsi="Arial" w:cs="Arial"/>
          <w:sz w:val="20"/>
        </w:rPr>
      </w:pPr>
      <w:r>
        <w:rPr>
          <w:rFonts w:ascii="Arial" w:hAnsi="Arial" w:cs="Arial"/>
          <w:sz w:val="20"/>
        </w:rPr>
        <w:fldChar w:fldCharType="begin"/>
      </w:r>
      <w:r>
        <w:rPr>
          <w:rFonts w:ascii="Arial" w:hAnsi="Arial" w:cs="Arial"/>
          <w:sz w:val="20"/>
        </w:rPr>
        <w:instrText xml:space="preserve"> REF _Ref474784560 \h </w:instrText>
      </w:r>
      <w:r>
        <w:rPr>
          <w:rFonts w:ascii="Arial" w:hAnsi="Arial" w:cs="Arial"/>
          <w:sz w:val="20"/>
        </w:rPr>
      </w:r>
      <w:r>
        <w:rPr>
          <w:rFonts w:ascii="Arial" w:hAnsi="Arial" w:cs="Arial"/>
          <w:sz w:val="20"/>
        </w:rPr>
        <w:fldChar w:fldCharType="separate"/>
      </w:r>
      <w:r w:rsidRPr="008809C8">
        <w:rPr>
          <w:rFonts w:ascii="Arial" w:hAnsi="Arial" w:cs="Arial"/>
          <w:sz w:val="20"/>
        </w:rPr>
        <w:t xml:space="preserve">Table </w:t>
      </w:r>
      <w:r>
        <w:rPr>
          <w:rFonts w:ascii="Arial" w:hAnsi="Arial" w:cs="Arial"/>
          <w:noProof/>
          <w:sz w:val="20"/>
        </w:rPr>
        <w:t>9</w:t>
      </w:r>
      <w:r>
        <w:rPr>
          <w:rFonts w:ascii="Arial" w:hAnsi="Arial" w:cs="Arial"/>
          <w:sz w:val="20"/>
        </w:rPr>
        <w:fldChar w:fldCharType="end"/>
      </w:r>
      <w:r w:rsidR="00A94252">
        <w:rPr>
          <w:rFonts w:ascii="Arial" w:hAnsi="Arial" w:cs="Arial"/>
          <w:sz w:val="20"/>
        </w:rPr>
        <w:t xml:space="preserve"> and </w:t>
      </w:r>
      <w:r w:rsidR="00A94252">
        <w:rPr>
          <w:rFonts w:ascii="Arial" w:hAnsi="Arial" w:cs="Arial"/>
          <w:sz w:val="20"/>
        </w:rPr>
        <w:fldChar w:fldCharType="begin"/>
      </w:r>
      <w:r w:rsidR="00A94252">
        <w:rPr>
          <w:rFonts w:ascii="Arial" w:hAnsi="Arial" w:cs="Arial"/>
          <w:sz w:val="20"/>
        </w:rPr>
        <w:instrText xml:space="preserve"> REF _Ref474788149 \h </w:instrText>
      </w:r>
      <w:r w:rsidR="00A94252">
        <w:rPr>
          <w:rFonts w:ascii="Arial" w:hAnsi="Arial" w:cs="Arial"/>
          <w:sz w:val="20"/>
        </w:rPr>
      </w:r>
      <w:r w:rsidR="00A94252">
        <w:rPr>
          <w:rFonts w:ascii="Arial" w:hAnsi="Arial" w:cs="Arial"/>
          <w:sz w:val="20"/>
        </w:rPr>
        <w:fldChar w:fldCharType="separate"/>
      </w:r>
      <w:r w:rsidR="00A94252" w:rsidRPr="00A41460">
        <w:rPr>
          <w:rFonts w:ascii="Arial" w:hAnsi="Arial" w:cs="Arial"/>
          <w:sz w:val="20"/>
        </w:rPr>
        <w:t xml:space="preserve">Figure </w:t>
      </w:r>
      <w:r w:rsidR="00A94252">
        <w:rPr>
          <w:rFonts w:ascii="Arial" w:hAnsi="Arial" w:cs="Arial"/>
          <w:noProof/>
          <w:sz w:val="20"/>
        </w:rPr>
        <w:t>5</w:t>
      </w:r>
      <w:r w:rsidR="00A94252">
        <w:rPr>
          <w:rFonts w:ascii="Arial" w:hAnsi="Arial" w:cs="Arial"/>
          <w:sz w:val="20"/>
        </w:rPr>
        <w:fldChar w:fldCharType="end"/>
      </w:r>
      <w:r w:rsidR="00A10500">
        <w:rPr>
          <w:rFonts w:ascii="Arial" w:hAnsi="Arial" w:cs="Arial"/>
          <w:sz w:val="20"/>
        </w:rPr>
        <w:t xml:space="preserve"> </w:t>
      </w:r>
      <w:r w:rsidR="00A94252">
        <w:rPr>
          <w:rFonts w:ascii="Arial" w:hAnsi="Arial" w:cs="Arial"/>
          <w:sz w:val="20"/>
        </w:rPr>
        <w:t>presents</w:t>
      </w:r>
      <w:r w:rsidR="00A10500">
        <w:rPr>
          <w:rFonts w:ascii="Arial" w:hAnsi="Arial" w:cs="Arial"/>
          <w:sz w:val="20"/>
        </w:rPr>
        <w:t xml:space="preserve"> the </w:t>
      </w:r>
      <w:r w:rsidR="00A94252">
        <w:rPr>
          <w:rFonts w:ascii="Arial" w:hAnsi="Arial" w:cs="Arial"/>
          <w:sz w:val="20"/>
        </w:rPr>
        <w:t xml:space="preserve">service latency </w:t>
      </w:r>
      <w:r w:rsidR="00A04449">
        <w:rPr>
          <w:rFonts w:ascii="Arial" w:hAnsi="Arial" w:cs="Arial"/>
          <w:sz w:val="20"/>
        </w:rPr>
        <w:t xml:space="preserve">for eMTC and NB-IoT </w:t>
      </w:r>
      <w:r w:rsidR="00A94252">
        <w:rPr>
          <w:rFonts w:ascii="Arial" w:hAnsi="Arial" w:cs="Arial"/>
          <w:sz w:val="20"/>
        </w:rPr>
        <w:t xml:space="preserve">at the loads presented in </w:t>
      </w:r>
      <w:r w:rsidR="00A94252">
        <w:rPr>
          <w:rFonts w:ascii="Arial" w:hAnsi="Arial" w:cs="Arial"/>
          <w:sz w:val="20"/>
        </w:rPr>
        <w:fldChar w:fldCharType="begin"/>
      </w:r>
      <w:r w:rsidR="00A94252">
        <w:rPr>
          <w:rFonts w:ascii="Arial" w:hAnsi="Arial" w:cs="Arial"/>
          <w:sz w:val="20"/>
        </w:rPr>
        <w:instrText xml:space="preserve"> REF _Ref474705111 \h </w:instrText>
      </w:r>
      <w:r w:rsidR="00A94252">
        <w:rPr>
          <w:rFonts w:ascii="Arial" w:hAnsi="Arial" w:cs="Arial"/>
          <w:sz w:val="20"/>
        </w:rPr>
      </w:r>
      <w:r w:rsidR="00A94252">
        <w:rPr>
          <w:rFonts w:ascii="Arial" w:hAnsi="Arial" w:cs="Arial"/>
          <w:sz w:val="20"/>
        </w:rPr>
        <w:fldChar w:fldCharType="separate"/>
      </w:r>
      <w:r w:rsidR="00A94252" w:rsidRPr="008809C8">
        <w:rPr>
          <w:rFonts w:ascii="Arial" w:hAnsi="Arial" w:cs="Arial"/>
          <w:sz w:val="20"/>
        </w:rPr>
        <w:t xml:space="preserve">Table </w:t>
      </w:r>
      <w:r w:rsidR="00A94252">
        <w:rPr>
          <w:rFonts w:ascii="Arial" w:hAnsi="Arial" w:cs="Arial"/>
          <w:noProof/>
          <w:sz w:val="20"/>
        </w:rPr>
        <w:t>8</w:t>
      </w:r>
      <w:r w:rsidR="00A94252">
        <w:rPr>
          <w:rFonts w:ascii="Arial" w:hAnsi="Arial" w:cs="Arial"/>
          <w:sz w:val="20"/>
        </w:rPr>
        <w:fldChar w:fldCharType="end"/>
      </w:r>
      <w:r w:rsidR="00A94252">
        <w:rPr>
          <w:rFonts w:ascii="Arial" w:hAnsi="Arial" w:cs="Arial"/>
          <w:sz w:val="20"/>
        </w:rPr>
        <w:t xml:space="preserve">. The latency </w:t>
      </w:r>
      <w:r w:rsidR="00F04209">
        <w:rPr>
          <w:rFonts w:ascii="Arial" w:hAnsi="Arial" w:cs="Arial"/>
          <w:sz w:val="20"/>
        </w:rPr>
        <w:t>includes</w:t>
      </w:r>
      <w:r w:rsidR="00A94252">
        <w:rPr>
          <w:rFonts w:ascii="Arial" w:hAnsi="Arial" w:cs="Arial"/>
          <w:sz w:val="20"/>
        </w:rPr>
        <w:t xml:space="preserve"> the time to access the system and deliver the data packet to the receiver, but it excludes the time needed to synchronize to the system and</w:t>
      </w:r>
      <w:r w:rsidR="00923CA4">
        <w:rPr>
          <w:rFonts w:ascii="Arial" w:hAnsi="Arial" w:cs="Arial"/>
          <w:sz w:val="20"/>
        </w:rPr>
        <w:t xml:space="preserve"> acquire the system information as a result of synchronization and broadcast control channels not being modelled. </w:t>
      </w:r>
    </w:p>
    <w:p w14:paraId="774C80CF" w14:textId="1B318165" w:rsidR="00A94252" w:rsidRDefault="00A94252" w:rsidP="00A41460">
      <w:pPr>
        <w:rPr>
          <w:rFonts w:ascii="Arial" w:hAnsi="Arial" w:cs="Arial"/>
          <w:sz w:val="20"/>
        </w:rPr>
      </w:pPr>
      <w:r>
        <w:rPr>
          <w:rFonts w:ascii="Arial" w:hAnsi="Arial" w:cs="Arial"/>
          <w:sz w:val="20"/>
        </w:rPr>
        <w:t xml:space="preserve">It is seen that eMTC offers a superior end user experience for at least 9 out of 10 devices. The NB-IoT anchor carrier displays better performance than eMTC for the last 10% in the depicted CDF. This is a result of a </w:t>
      </w:r>
      <w:r w:rsidR="00C05F5D">
        <w:rPr>
          <w:rFonts w:ascii="Arial" w:hAnsi="Arial" w:cs="Arial"/>
          <w:sz w:val="20"/>
        </w:rPr>
        <w:t>uplink scheduling flexibility NB-IoT possesses that becomes beneficial at very high system load.</w:t>
      </w:r>
      <w:r>
        <w:rPr>
          <w:rFonts w:ascii="Arial" w:hAnsi="Arial" w:cs="Arial"/>
          <w:sz w:val="20"/>
        </w:rPr>
        <w:t xml:space="preserve"> The NB-IoT non-anchor performance is infe</w:t>
      </w:r>
      <w:r w:rsidR="00C05F5D">
        <w:rPr>
          <w:rFonts w:ascii="Arial" w:hAnsi="Arial" w:cs="Arial"/>
          <w:sz w:val="20"/>
        </w:rPr>
        <w:t>rior to both eMTC and the NB-IoT anchor. This is no surprise considering the very high load at which the non-anchor is evaluated at.</w:t>
      </w:r>
    </w:p>
    <w:p w14:paraId="64BBAF9C" w14:textId="4991DB47" w:rsidR="00C05F5D" w:rsidRDefault="00C05F5D" w:rsidP="00A41460">
      <w:pPr>
        <w:rPr>
          <w:rFonts w:ascii="Arial" w:hAnsi="Arial" w:cs="Arial"/>
          <w:sz w:val="20"/>
        </w:rPr>
      </w:pPr>
      <w:r>
        <w:rPr>
          <w:rFonts w:ascii="Arial" w:hAnsi="Arial" w:cs="Arial"/>
          <w:sz w:val="20"/>
        </w:rPr>
        <w:t xml:space="preserve">The results also </w:t>
      </w:r>
      <w:r w:rsidR="00174942">
        <w:rPr>
          <w:rFonts w:ascii="Arial" w:hAnsi="Arial" w:cs="Arial"/>
          <w:sz w:val="20"/>
        </w:rPr>
        <w:t>indicate</w:t>
      </w:r>
      <w:r>
        <w:rPr>
          <w:rFonts w:ascii="Arial" w:hAnsi="Arial" w:cs="Arial"/>
          <w:sz w:val="20"/>
        </w:rPr>
        <w:t xml:space="preserve"> that a packet dropping timer lower than 45 s would impact the achieved system capacity, as it would increase the number of devices considered to be out of service.</w:t>
      </w:r>
      <w:r w:rsidR="00750087">
        <w:rPr>
          <w:rFonts w:ascii="Arial" w:hAnsi="Arial" w:cs="Arial"/>
          <w:sz w:val="20"/>
        </w:rPr>
        <w:t xml:space="preserve"> </w:t>
      </w:r>
      <w:r w:rsidR="00FA3FA2">
        <w:rPr>
          <w:rFonts w:ascii="Arial" w:hAnsi="Arial" w:cs="Arial"/>
          <w:sz w:val="20"/>
        </w:rPr>
        <w:t xml:space="preserve">But is should be noted that the depicted CDFs are very flat beyond 15 s. </w:t>
      </w:r>
      <w:r w:rsidR="00750087">
        <w:rPr>
          <w:rFonts w:ascii="Arial" w:hAnsi="Arial" w:cs="Arial"/>
          <w:sz w:val="20"/>
        </w:rPr>
        <w:t>Given that up to 200 bytes are transmitted in the MAR model, a timer value in this range</w:t>
      </w:r>
      <w:r w:rsidR="00E7490E">
        <w:rPr>
          <w:rFonts w:ascii="Arial" w:hAnsi="Arial" w:cs="Arial"/>
          <w:sz w:val="20"/>
        </w:rPr>
        <w:t xml:space="preserve"> of 45 s</w:t>
      </w:r>
      <w:r w:rsidR="00750087">
        <w:rPr>
          <w:rFonts w:ascii="Arial" w:hAnsi="Arial" w:cs="Arial"/>
          <w:sz w:val="20"/>
        </w:rPr>
        <w:t xml:space="preserve"> is</w:t>
      </w:r>
      <w:r w:rsidR="00FC02D5">
        <w:rPr>
          <w:rFonts w:ascii="Arial" w:hAnsi="Arial" w:cs="Arial"/>
          <w:sz w:val="20"/>
        </w:rPr>
        <w:t xml:space="preserve"> also</w:t>
      </w:r>
      <w:r w:rsidR="00750087">
        <w:rPr>
          <w:rFonts w:ascii="Arial" w:hAnsi="Arial" w:cs="Arial"/>
          <w:sz w:val="20"/>
        </w:rPr>
        <w:t xml:space="preserve"> not unrealistic in a fully loaded system.</w:t>
      </w:r>
    </w:p>
    <w:p w14:paraId="42CF3C43" w14:textId="0DD44F21" w:rsidR="00140E5C" w:rsidRPr="008809C8" w:rsidRDefault="00140E5C" w:rsidP="00140E5C">
      <w:pPr>
        <w:pStyle w:val="Caption"/>
        <w:keepNext/>
        <w:rPr>
          <w:rFonts w:ascii="Arial" w:hAnsi="Arial" w:cs="Arial"/>
          <w:sz w:val="20"/>
        </w:rPr>
      </w:pPr>
      <w:bookmarkStart w:id="14" w:name="_Ref474784560"/>
      <w:r w:rsidRPr="008809C8">
        <w:rPr>
          <w:rFonts w:ascii="Arial" w:hAnsi="Arial" w:cs="Arial"/>
          <w:sz w:val="20"/>
        </w:rPr>
        <w:t xml:space="preserve">Table </w:t>
      </w:r>
      <w:r w:rsidRPr="008809C8">
        <w:rPr>
          <w:rFonts w:ascii="Arial" w:hAnsi="Arial" w:cs="Arial"/>
          <w:sz w:val="20"/>
        </w:rPr>
        <w:fldChar w:fldCharType="begin"/>
      </w:r>
      <w:r w:rsidRPr="008809C8">
        <w:rPr>
          <w:rFonts w:ascii="Arial" w:hAnsi="Arial" w:cs="Arial"/>
          <w:sz w:val="20"/>
        </w:rPr>
        <w:instrText xml:space="preserve"> SEQ Table \* ARABIC </w:instrText>
      </w:r>
      <w:r w:rsidRPr="008809C8">
        <w:rPr>
          <w:rFonts w:ascii="Arial" w:hAnsi="Arial" w:cs="Arial"/>
          <w:sz w:val="20"/>
        </w:rPr>
        <w:fldChar w:fldCharType="separate"/>
      </w:r>
      <w:r>
        <w:rPr>
          <w:rFonts w:ascii="Arial" w:hAnsi="Arial" w:cs="Arial"/>
          <w:noProof/>
          <w:sz w:val="20"/>
        </w:rPr>
        <w:t>9</w:t>
      </w:r>
      <w:r w:rsidRPr="008809C8">
        <w:rPr>
          <w:rFonts w:ascii="Arial" w:hAnsi="Arial" w:cs="Arial"/>
          <w:sz w:val="20"/>
        </w:rPr>
        <w:fldChar w:fldCharType="end"/>
      </w:r>
      <w:bookmarkEnd w:id="14"/>
      <w:r w:rsidRPr="008809C8">
        <w:rPr>
          <w:rFonts w:ascii="Arial" w:hAnsi="Arial" w:cs="Arial"/>
          <w:sz w:val="20"/>
        </w:rPr>
        <w:t xml:space="preserve"> </w:t>
      </w:r>
      <w:r w:rsidR="00F433A3">
        <w:rPr>
          <w:rFonts w:ascii="Arial" w:hAnsi="Arial" w:cs="Arial"/>
          <w:sz w:val="20"/>
        </w:rPr>
        <w:t>Service latency</w:t>
      </w:r>
      <w:r w:rsidR="004A67C4">
        <w:rPr>
          <w:rFonts w:ascii="Arial" w:hAnsi="Arial" w:cs="Arial"/>
          <w:sz w:val="20"/>
        </w:rPr>
        <w:t xml:space="preserve"> at extreme </w:t>
      </w:r>
      <w:r w:rsidR="00971D45">
        <w:rPr>
          <w:rFonts w:ascii="Arial" w:hAnsi="Arial" w:cs="Arial"/>
          <w:sz w:val="20"/>
        </w:rPr>
        <w:t>load</w:t>
      </w:r>
      <w:r w:rsidRPr="008809C8">
        <w:rPr>
          <w:rFonts w:ascii="Arial" w:hAnsi="Arial" w:cs="Arial"/>
          <w:sz w:val="20"/>
        </w:rPr>
        <w:t>.</w:t>
      </w:r>
    </w:p>
    <w:tbl>
      <w:tblPr>
        <w:tblStyle w:val="TableGrid"/>
        <w:tblW w:w="0" w:type="auto"/>
        <w:tblLook w:val="04A0" w:firstRow="1" w:lastRow="0" w:firstColumn="1" w:lastColumn="0" w:noHBand="0" w:noVBand="1"/>
      </w:tblPr>
      <w:tblGrid>
        <w:gridCol w:w="2407"/>
        <w:gridCol w:w="2407"/>
        <w:gridCol w:w="2407"/>
        <w:gridCol w:w="2408"/>
      </w:tblGrid>
      <w:tr w:rsidR="00140E5C" w14:paraId="056A24E1" w14:textId="77777777" w:rsidTr="00583840">
        <w:tc>
          <w:tcPr>
            <w:tcW w:w="2407" w:type="dxa"/>
          </w:tcPr>
          <w:p w14:paraId="2347BCB2" w14:textId="5575CB23" w:rsidR="00140E5C" w:rsidRPr="00EF2B93" w:rsidRDefault="00A10500" w:rsidP="00583840">
            <w:pPr>
              <w:pStyle w:val="TAH"/>
              <w:overflowPunct w:val="0"/>
              <w:autoSpaceDE w:val="0"/>
              <w:autoSpaceDN w:val="0"/>
              <w:adjustRightInd w:val="0"/>
              <w:rPr>
                <w:lang w:val="en-US"/>
              </w:rPr>
            </w:pPr>
            <w:r>
              <w:rPr>
                <w:lang w:val="en-US"/>
              </w:rPr>
              <w:t>Service latency</w:t>
            </w:r>
          </w:p>
        </w:tc>
        <w:tc>
          <w:tcPr>
            <w:tcW w:w="2407" w:type="dxa"/>
          </w:tcPr>
          <w:p w14:paraId="121EB0CA" w14:textId="77777777" w:rsidR="00140E5C" w:rsidRPr="00EF2B93" w:rsidRDefault="00140E5C" w:rsidP="00583840">
            <w:pPr>
              <w:pStyle w:val="TAH"/>
              <w:overflowPunct w:val="0"/>
              <w:autoSpaceDE w:val="0"/>
              <w:autoSpaceDN w:val="0"/>
              <w:adjustRightInd w:val="0"/>
              <w:rPr>
                <w:lang w:val="en-US"/>
              </w:rPr>
            </w:pPr>
            <w:r w:rsidRPr="00EF2B93">
              <w:rPr>
                <w:lang w:val="en-US"/>
              </w:rPr>
              <w:t>eMTC narrowband</w:t>
            </w:r>
          </w:p>
        </w:tc>
        <w:tc>
          <w:tcPr>
            <w:tcW w:w="2407" w:type="dxa"/>
          </w:tcPr>
          <w:p w14:paraId="3E70EABB" w14:textId="77777777" w:rsidR="00140E5C" w:rsidRPr="00EF2B93" w:rsidRDefault="00140E5C" w:rsidP="00583840">
            <w:pPr>
              <w:pStyle w:val="TAH"/>
              <w:overflowPunct w:val="0"/>
              <w:autoSpaceDE w:val="0"/>
              <w:autoSpaceDN w:val="0"/>
              <w:adjustRightInd w:val="0"/>
              <w:rPr>
                <w:lang w:val="en-US"/>
              </w:rPr>
            </w:pPr>
            <w:r w:rsidRPr="00EF2B93">
              <w:rPr>
                <w:lang w:val="en-US"/>
              </w:rPr>
              <w:t>NB-IoT anchor</w:t>
            </w:r>
          </w:p>
        </w:tc>
        <w:tc>
          <w:tcPr>
            <w:tcW w:w="2408" w:type="dxa"/>
          </w:tcPr>
          <w:p w14:paraId="0CE9EE5D" w14:textId="77777777" w:rsidR="00140E5C" w:rsidRPr="00EF2B93" w:rsidRDefault="00140E5C" w:rsidP="00583840">
            <w:pPr>
              <w:pStyle w:val="TAH"/>
              <w:overflowPunct w:val="0"/>
              <w:autoSpaceDE w:val="0"/>
              <w:autoSpaceDN w:val="0"/>
              <w:adjustRightInd w:val="0"/>
              <w:rPr>
                <w:lang w:val="en-US"/>
              </w:rPr>
            </w:pPr>
            <w:r w:rsidRPr="00EF2B93">
              <w:rPr>
                <w:lang w:val="en-US"/>
              </w:rPr>
              <w:t>NB-IoT non-anchor</w:t>
            </w:r>
          </w:p>
        </w:tc>
      </w:tr>
      <w:tr w:rsidR="00A10500" w14:paraId="32BB918B" w14:textId="77777777" w:rsidTr="00583840">
        <w:tc>
          <w:tcPr>
            <w:tcW w:w="2407" w:type="dxa"/>
          </w:tcPr>
          <w:p w14:paraId="259BFA49" w14:textId="77777777" w:rsidR="00A10500" w:rsidRPr="00EF2B93" w:rsidRDefault="00A10500" w:rsidP="00583840">
            <w:pPr>
              <w:pStyle w:val="TAC"/>
              <w:overflowPunct w:val="0"/>
              <w:autoSpaceDE w:val="0"/>
              <w:autoSpaceDN w:val="0"/>
              <w:adjustRightInd w:val="0"/>
              <w:jc w:val="left"/>
              <w:rPr>
                <w:lang w:val="en-US"/>
              </w:rPr>
            </w:pPr>
            <w:r>
              <w:rPr>
                <w:lang w:val="en-US"/>
              </w:rPr>
              <w:t>At the 50</w:t>
            </w:r>
            <w:r w:rsidRPr="00FE5AAE">
              <w:rPr>
                <w:vertAlign w:val="superscript"/>
                <w:lang w:val="en-US"/>
              </w:rPr>
              <w:t xml:space="preserve">th </w:t>
            </w:r>
            <w:r>
              <w:rPr>
                <w:lang w:val="en-US"/>
              </w:rPr>
              <w:t>percentile</w:t>
            </w:r>
          </w:p>
        </w:tc>
        <w:tc>
          <w:tcPr>
            <w:tcW w:w="2407" w:type="dxa"/>
          </w:tcPr>
          <w:p w14:paraId="6BDD7BFD" w14:textId="558BEBE6" w:rsidR="00A10500" w:rsidRPr="00EF2B93" w:rsidRDefault="008B132D" w:rsidP="00583840">
            <w:pPr>
              <w:pStyle w:val="TAC"/>
              <w:overflowPunct w:val="0"/>
              <w:autoSpaceDE w:val="0"/>
              <w:autoSpaceDN w:val="0"/>
              <w:adjustRightInd w:val="0"/>
              <w:rPr>
                <w:lang w:val="en-US"/>
              </w:rPr>
            </w:pPr>
            <w:r>
              <w:rPr>
                <w:lang w:val="en-US"/>
              </w:rPr>
              <w:t>0.17 s</w:t>
            </w:r>
          </w:p>
        </w:tc>
        <w:tc>
          <w:tcPr>
            <w:tcW w:w="2407" w:type="dxa"/>
          </w:tcPr>
          <w:p w14:paraId="2AEA7EF7" w14:textId="5024CFC7" w:rsidR="00A10500" w:rsidRPr="00EF2B93" w:rsidRDefault="008B132D" w:rsidP="00583840">
            <w:pPr>
              <w:pStyle w:val="TAC"/>
              <w:overflowPunct w:val="0"/>
              <w:autoSpaceDE w:val="0"/>
              <w:autoSpaceDN w:val="0"/>
              <w:adjustRightInd w:val="0"/>
              <w:rPr>
                <w:lang w:val="en-US"/>
              </w:rPr>
            </w:pPr>
            <w:r>
              <w:rPr>
                <w:lang w:val="en-US"/>
              </w:rPr>
              <w:t>0.4</w:t>
            </w:r>
            <w:r w:rsidR="00FA3FA2">
              <w:rPr>
                <w:lang w:val="en-US"/>
              </w:rPr>
              <w:t>9</w:t>
            </w:r>
            <w:r>
              <w:rPr>
                <w:lang w:val="en-US"/>
              </w:rPr>
              <w:t xml:space="preserve"> s</w:t>
            </w:r>
          </w:p>
        </w:tc>
        <w:tc>
          <w:tcPr>
            <w:tcW w:w="2408" w:type="dxa"/>
          </w:tcPr>
          <w:p w14:paraId="01158C7F" w14:textId="3C49B299" w:rsidR="00A10500" w:rsidRPr="00EF2B93" w:rsidRDefault="008B132D" w:rsidP="00583840">
            <w:pPr>
              <w:pStyle w:val="TAC"/>
              <w:overflowPunct w:val="0"/>
              <w:autoSpaceDE w:val="0"/>
              <w:autoSpaceDN w:val="0"/>
              <w:adjustRightInd w:val="0"/>
              <w:rPr>
                <w:lang w:val="en-US"/>
              </w:rPr>
            </w:pPr>
            <w:r>
              <w:rPr>
                <w:lang w:val="en-US"/>
              </w:rPr>
              <w:t>0.62 s</w:t>
            </w:r>
          </w:p>
        </w:tc>
      </w:tr>
      <w:tr w:rsidR="00A10500" w14:paraId="1CDE13DB" w14:textId="77777777" w:rsidTr="00583840">
        <w:tc>
          <w:tcPr>
            <w:tcW w:w="2407" w:type="dxa"/>
          </w:tcPr>
          <w:p w14:paraId="60CB5E2F" w14:textId="5721A588" w:rsidR="00A10500" w:rsidRPr="00EF2B93" w:rsidRDefault="00A10500" w:rsidP="00583840">
            <w:pPr>
              <w:pStyle w:val="TAC"/>
              <w:overflowPunct w:val="0"/>
              <w:autoSpaceDE w:val="0"/>
              <w:autoSpaceDN w:val="0"/>
              <w:adjustRightInd w:val="0"/>
              <w:jc w:val="left"/>
              <w:rPr>
                <w:lang w:val="en-US"/>
              </w:rPr>
            </w:pPr>
            <w:r>
              <w:rPr>
                <w:lang w:val="en-US"/>
              </w:rPr>
              <w:t>At the 90</w:t>
            </w:r>
            <w:r w:rsidRPr="00FE5AAE">
              <w:rPr>
                <w:vertAlign w:val="superscript"/>
                <w:lang w:val="en-US"/>
              </w:rPr>
              <w:t xml:space="preserve">th </w:t>
            </w:r>
            <w:r>
              <w:rPr>
                <w:lang w:val="en-US"/>
              </w:rPr>
              <w:t>percentile</w:t>
            </w:r>
          </w:p>
        </w:tc>
        <w:tc>
          <w:tcPr>
            <w:tcW w:w="2407" w:type="dxa"/>
          </w:tcPr>
          <w:p w14:paraId="74E90A80" w14:textId="7CE9AD4F" w:rsidR="00A10500" w:rsidRPr="00EF2B93" w:rsidRDefault="008B132D" w:rsidP="00583840">
            <w:pPr>
              <w:pStyle w:val="TAC"/>
              <w:overflowPunct w:val="0"/>
              <w:autoSpaceDE w:val="0"/>
              <w:autoSpaceDN w:val="0"/>
              <w:adjustRightInd w:val="0"/>
              <w:rPr>
                <w:lang w:val="en-US"/>
              </w:rPr>
            </w:pPr>
            <w:r>
              <w:rPr>
                <w:lang w:val="en-US"/>
              </w:rPr>
              <w:t>1.2 s</w:t>
            </w:r>
          </w:p>
        </w:tc>
        <w:tc>
          <w:tcPr>
            <w:tcW w:w="2407" w:type="dxa"/>
          </w:tcPr>
          <w:p w14:paraId="2B44B55B" w14:textId="5AE7E09B" w:rsidR="00A10500" w:rsidRPr="00EF2B93" w:rsidRDefault="008B132D" w:rsidP="00583840">
            <w:pPr>
              <w:pStyle w:val="TAC"/>
              <w:overflowPunct w:val="0"/>
              <w:autoSpaceDE w:val="0"/>
              <w:autoSpaceDN w:val="0"/>
              <w:adjustRightInd w:val="0"/>
              <w:rPr>
                <w:lang w:val="en-US"/>
              </w:rPr>
            </w:pPr>
            <w:r>
              <w:rPr>
                <w:lang w:val="en-US"/>
              </w:rPr>
              <w:t>1.</w:t>
            </w:r>
            <w:r w:rsidR="00FA3FA2">
              <w:rPr>
                <w:lang w:val="en-US"/>
              </w:rPr>
              <w:t>4</w:t>
            </w:r>
            <w:r>
              <w:rPr>
                <w:lang w:val="en-US"/>
              </w:rPr>
              <w:t xml:space="preserve"> s</w:t>
            </w:r>
          </w:p>
        </w:tc>
        <w:tc>
          <w:tcPr>
            <w:tcW w:w="2408" w:type="dxa"/>
          </w:tcPr>
          <w:p w14:paraId="05EE2A6C" w14:textId="004BEBBE" w:rsidR="00A10500" w:rsidRPr="00EF2B93" w:rsidRDefault="008B132D" w:rsidP="00583840">
            <w:pPr>
              <w:pStyle w:val="TAC"/>
              <w:overflowPunct w:val="0"/>
              <w:autoSpaceDE w:val="0"/>
              <w:autoSpaceDN w:val="0"/>
              <w:adjustRightInd w:val="0"/>
              <w:rPr>
                <w:lang w:val="en-US"/>
              </w:rPr>
            </w:pPr>
            <w:r>
              <w:rPr>
                <w:lang w:val="en-US"/>
              </w:rPr>
              <w:t>2.5 s</w:t>
            </w:r>
          </w:p>
        </w:tc>
      </w:tr>
      <w:tr w:rsidR="00140E5C" w14:paraId="4F970E88" w14:textId="77777777" w:rsidTr="00583840">
        <w:tc>
          <w:tcPr>
            <w:tcW w:w="2407" w:type="dxa"/>
          </w:tcPr>
          <w:p w14:paraId="54157CF7" w14:textId="68A99B44" w:rsidR="00140E5C" w:rsidRPr="00EF2B93" w:rsidRDefault="00A10500" w:rsidP="00583840">
            <w:pPr>
              <w:pStyle w:val="TAC"/>
              <w:overflowPunct w:val="0"/>
              <w:autoSpaceDE w:val="0"/>
              <w:autoSpaceDN w:val="0"/>
              <w:adjustRightInd w:val="0"/>
              <w:jc w:val="left"/>
              <w:rPr>
                <w:lang w:val="en-US"/>
              </w:rPr>
            </w:pPr>
            <w:r>
              <w:rPr>
                <w:lang w:val="en-US"/>
              </w:rPr>
              <w:t>At the 99</w:t>
            </w:r>
            <w:r w:rsidRPr="00465AC4">
              <w:rPr>
                <w:vertAlign w:val="superscript"/>
                <w:lang w:val="en-US"/>
              </w:rPr>
              <w:t xml:space="preserve">th </w:t>
            </w:r>
            <w:r>
              <w:rPr>
                <w:lang w:val="en-US"/>
              </w:rPr>
              <w:t>percentile</w:t>
            </w:r>
          </w:p>
        </w:tc>
        <w:tc>
          <w:tcPr>
            <w:tcW w:w="2407" w:type="dxa"/>
          </w:tcPr>
          <w:p w14:paraId="5767F688" w14:textId="29C38E18" w:rsidR="00140E5C" w:rsidRPr="00EF2B93" w:rsidRDefault="008B132D" w:rsidP="00583840">
            <w:pPr>
              <w:pStyle w:val="TAC"/>
              <w:overflowPunct w:val="0"/>
              <w:autoSpaceDE w:val="0"/>
              <w:autoSpaceDN w:val="0"/>
              <w:adjustRightInd w:val="0"/>
              <w:rPr>
                <w:lang w:val="en-US"/>
              </w:rPr>
            </w:pPr>
            <w:r>
              <w:rPr>
                <w:lang w:val="en-US"/>
              </w:rPr>
              <w:t>45 s</w:t>
            </w:r>
          </w:p>
        </w:tc>
        <w:tc>
          <w:tcPr>
            <w:tcW w:w="2407" w:type="dxa"/>
          </w:tcPr>
          <w:p w14:paraId="4A69A156" w14:textId="2714EAE2" w:rsidR="00140E5C" w:rsidRPr="00EF2B93" w:rsidRDefault="00FA3FA2" w:rsidP="00583840">
            <w:pPr>
              <w:pStyle w:val="TAC"/>
              <w:overflowPunct w:val="0"/>
              <w:autoSpaceDE w:val="0"/>
              <w:autoSpaceDN w:val="0"/>
              <w:adjustRightInd w:val="0"/>
              <w:rPr>
                <w:lang w:val="en-US"/>
              </w:rPr>
            </w:pPr>
            <w:r>
              <w:rPr>
                <w:lang w:val="en-US"/>
              </w:rPr>
              <w:t>39</w:t>
            </w:r>
            <w:r w:rsidR="008B132D">
              <w:rPr>
                <w:lang w:val="en-US"/>
              </w:rPr>
              <w:t xml:space="preserve"> s</w:t>
            </w:r>
          </w:p>
        </w:tc>
        <w:tc>
          <w:tcPr>
            <w:tcW w:w="2408" w:type="dxa"/>
          </w:tcPr>
          <w:p w14:paraId="515F4997" w14:textId="15E200C3" w:rsidR="00140E5C" w:rsidRPr="00EF2B93" w:rsidRDefault="008B132D" w:rsidP="00583840">
            <w:pPr>
              <w:pStyle w:val="TAC"/>
              <w:overflowPunct w:val="0"/>
              <w:autoSpaceDE w:val="0"/>
              <w:autoSpaceDN w:val="0"/>
              <w:adjustRightInd w:val="0"/>
              <w:rPr>
                <w:lang w:val="en-US"/>
              </w:rPr>
            </w:pPr>
            <w:r>
              <w:rPr>
                <w:lang w:val="en-US"/>
              </w:rPr>
              <w:t>35 s</w:t>
            </w:r>
          </w:p>
        </w:tc>
      </w:tr>
    </w:tbl>
    <w:p w14:paraId="4A232F02" w14:textId="77777777" w:rsidR="00140E5C" w:rsidRPr="00A41460" w:rsidRDefault="00140E5C" w:rsidP="00A41460">
      <w:pPr>
        <w:rPr>
          <w:rFonts w:ascii="Arial" w:hAnsi="Arial" w:cs="Arial"/>
          <w:sz w:val="20"/>
        </w:rPr>
      </w:pPr>
    </w:p>
    <w:p w14:paraId="6B7B379C" w14:textId="6E27A081" w:rsidR="00F07AD1" w:rsidRDefault="00FA3FA2" w:rsidP="009C6705">
      <w:pPr>
        <w:jc w:val="center"/>
      </w:pPr>
      <w:r>
        <w:rPr>
          <w:noProof/>
          <w:lang w:val="en-US" w:eastAsia="en-US"/>
        </w:rPr>
        <w:lastRenderedPageBreak/>
        <w:drawing>
          <wp:inline distT="0" distB="0" distL="0" distR="0" wp14:anchorId="01456290" wp14:editId="7B4AB8A5">
            <wp:extent cx="5040975" cy="3602438"/>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MTC_NB-IoT_latency_high_load.png"/>
                    <pic:cNvPicPr/>
                  </pic:nvPicPr>
                  <pic:blipFill>
                    <a:blip r:embed="rId12">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0287E11B" w14:textId="79DF580D" w:rsidR="00A10500" w:rsidRDefault="00A10500" w:rsidP="00A10500">
      <w:pPr>
        <w:pStyle w:val="Caption"/>
        <w:rPr>
          <w:rFonts w:ascii="Arial" w:hAnsi="Arial" w:cs="Arial"/>
          <w:sz w:val="20"/>
        </w:rPr>
      </w:pPr>
      <w:bookmarkStart w:id="15" w:name="_Ref474788149"/>
      <w:r w:rsidRPr="00A41460">
        <w:rPr>
          <w:rFonts w:ascii="Arial" w:hAnsi="Arial" w:cs="Arial"/>
          <w:sz w:val="20"/>
        </w:rPr>
        <w:t xml:space="preserve">Figure </w:t>
      </w:r>
      <w:r w:rsidRPr="00A41460">
        <w:rPr>
          <w:rFonts w:ascii="Arial" w:hAnsi="Arial" w:cs="Arial"/>
          <w:sz w:val="20"/>
        </w:rPr>
        <w:fldChar w:fldCharType="begin"/>
      </w:r>
      <w:r w:rsidRPr="00A41460">
        <w:rPr>
          <w:rFonts w:ascii="Arial" w:hAnsi="Arial" w:cs="Arial"/>
          <w:sz w:val="20"/>
        </w:rPr>
        <w:instrText xml:space="preserve"> SEQ Figure \* ARABIC </w:instrText>
      </w:r>
      <w:r w:rsidRPr="00A41460">
        <w:rPr>
          <w:rFonts w:ascii="Arial" w:hAnsi="Arial" w:cs="Arial"/>
          <w:sz w:val="20"/>
        </w:rPr>
        <w:fldChar w:fldCharType="separate"/>
      </w:r>
      <w:r>
        <w:rPr>
          <w:rFonts w:ascii="Arial" w:hAnsi="Arial" w:cs="Arial"/>
          <w:noProof/>
          <w:sz w:val="20"/>
        </w:rPr>
        <w:t>5</w:t>
      </w:r>
      <w:r w:rsidRPr="00A41460">
        <w:rPr>
          <w:rFonts w:ascii="Arial" w:hAnsi="Arial" w:cs="Arial"/>
          <w:sz w:val="20"/>
        </w:rPr>
        <w:fldChar w:fldCharType="end"/>
      </w:r>
      <w:bookmarkEnd w:id="15"/>
      <w:r w:rsidRPr="00A41460">
        <w:rPr>
          <w:rFonts w:ascii="Arial" w:hAnsi="Arial" w:cs="Arial"/>
          <w:sz w:val="20"/>
        </w:rPr>
        <w:t xml:space="preserve"> </w:t>
      </w:r>
      <w:r>
        <w:rPr>
          <w:rFonts w:ascii="Arial" w:hAnsi="Arial" w:cs="Arial"/>
          <w:sz w:val="20"/>
        </w:rPr>
        <w:t xml:space="preserve">Service latency at </w:t>
      </w:r>
      <w:r w:rsidR="004F54AF">
        <w:rPr>
          <w:rFonts w:ascii="Arial" w:hAnsi="Arial" w:cs="Arial"/>
          <w:sz w:val="20"/>
        </w:rPr>
        <w:t xml:space="preserve">the </w:t>
      </w:r>
      <w:r w:rsidR="009A6F84">
        <w:rPr>
          <w:rFonts w:ascii="Arial" w:hAnsi="Arial" w:cs="Arial"/>
          <w:sz w:val="20"/>
        </w:rPr>
        <w:t>extreme</w:t>
      </w:r>
      <w:r w:rsidR="004F54AF">
        <w:rPr>
          <w:rFonts w:ascii="Arial" w:hAnsi="Arial" w:cs="Arial"/>
          <w:sz w:val="20"/>
        </w:rPr>
        <w:t xml:space="preserve"> system</w:t>
      </w:r>
      <w:r>
        <w:rPr>
          <w:rFonts w:ascii="Arial" w:hAnsi="Arial" w:cs="Arial"/>
          <w:sz w:val="20"/>
        </w:rPr>
        <w:t xml:space="preserve"> load for eMTC and NB-IoT</w:t>
      </w:r>
      <w:r w:rsidRPr="00A41460">
        <w:rPr>
          <w:rFonts w:ascii="Arial" w:hAnsi="Arial" w:cs="Arial"/>
          <w:sz w:val="20"/>
        </w:rPr>
        <w:t>.</w:t>
      </w:r>
    </w:p>
    <w:p w14:paraId="10074E38" w14:textId="74AA3EEC" w:rsidR="00DC4BD0" w:rsidRPr="00DC4BD0" w:rsidRDefault="00DC4BD0" w:rsidP="00DC4BD0">
      <w:pPr>
        <w:rPr>
          <w:rFonts w:ascii="Arial" w:hAnsi="Arial" w:cs="Arial"/>
          <w:sz w:val="20"/>
        </w:rPr>
      </w:pPr>
      <w:r w:rsidRPr="00DC4BD0">
        <w:rPr>
          <w:rFonts w:ascii="Arial" w:hAnsi="Arial" w:cs="Arial"/>
          <w:sz w:val="20"/>
        </w:rPr>
        <w:t xml:space="preserve">The above results are representative at extreme cell loads, that </w:t>
      </w:r>
      <w:r>
        <w:rPr>
          <w:rFonts w:ascii="Arial" w:hAnsi="Arial" w:cs="Arial"/>
          <w:sz w:val="20"/>
        </w:rPr>
        <w:t xml:space="preserve">may not be that likely to experience in practice. Below is therefore presented the latency recorded at </w:t>
      </w:r>
      <w:bookmarkStart w:id="16" w:name="_GoBack"/>
      <w:bookmarkEnd w:id="16"/>
      <w:r>
        <w:rPr>
          <w:rFonts w:ascii="Arial" w:hAnsi="Arial" w:cs="Arial"/>
          <w:sz w:val="20"/>
        </w:rPr>
        <w:t>a more moderate</w:t>
      </w:r>
      <w:r w:rsidR="004A67C4">
        <w:rPr>
          <w:rFonts w:ascii="Arial" w:hAnsi="Arial" w:cs="Arial"/>
          <w:sz w:val="20"/>
        </w:rPr>
        <w:t>, but still high,</w:t>
      </w:r>
      <w:r>
        <w:rPr>
          <w:rFonts w:ascii="Arial" w:hAnsi="Arial" w:cs="Arial"/>
          <w:sz w:val="20"/>
        </w:rPr>
        <w:t xml:space="preserve"> load of </w:t>
      </w:r>
      <w:r w:rsidR="00174942" w:rsidRPr="004A67C4">
        <w:rPr>
          <w:rFonts w:ascii="Arial" w:hAnsi="Arial" w:cs="Arial"/>
          <w:sz w:val="20"/>
        </w:rPr>
        <w:t>90 000</w:t>
      </w:r>
      <w:r>
        <w:rPr>
          <w:rFonts w:ascii="Arial" w:hAnsi="Arial" w:cs="Arial"/>
          <w:sz w:val="20"/>
        </w:rPr>
        <w:t xml:space="preserve"> devices/km</w:t>
      </w:r>
      <w:r w:rsidRPr="00DC4BD0">
        <w:rPr>
          <w:rFonts w:ascii="Arial" w:hAnsi="Arial" w:cs="Arial"/>
          <w:sz w:val="20"/>
          <w:vertAlign w:val="superscript"/>
        </w:rPr>
        <w:t>2</w:t>
      </w:r>
      <w:r>
        <w:rPr>
          <w:rFonts w:ascii="Arial" w:hAnsi="Arial" w:cs="Arial"/>
          <w:sz w:val="20"/>
        </w:rPr>
        <w:t xml:space="preserve"> for eMTC and </w:t>
      </w:r>
      <w:r w:rsidR="00174942" w:rsidRPr="004A67C4">
        <w:rPr>
          <w:rFonts w:ascii="Arial" w:hAnsi="Arial" w:cs="Arial"/>
          <w:sz w:val="20"/>
        </w:rPr>
        <w:t>18 000</w:t>
      </w:r>
      <w:r>
        <w:rPr>
          <w:rFonts w:ascii="Arial" w:hAnsi="Arial" w:cs="Arial"/>
          <w:sz w:val="20"/>
        </w:rPr>
        <w:t xml:space="preserve"> devices/km</w:t>
      </w:r>
      <w:r w:rsidRPr="00DC4BD0">
        <w:rPr>
          <w:rFonts w:ascii="Arial" w:hAnsi="Arial" w:cs="Arial"/>
          <w:sz w:val="20"/>
          <w:vertAlign w:val="superscript"/>
        </w:rPr>
        <w:t>2</w:t>
      </w:r>
      <w:r>
        <w:rPr>
          <w:rFonts w:ascii="Arial" w:hAnsi="Arial" w:cs="Arial"/>
          <w:sz w:val="20"/>
        </w:rPr>
        <w:t xml:space="preserve"> for NB-IoT. Again eMTC is outperforming NB-IoT and delivers a latency below 1 s for 99% of the devices. For NB-IoT the anchor and non-anchor are now delivering similar latencies as a result of being evaluated at the same load.</w:t>
      </w:r>
    </w:p>
    <w:p w14:paraId="6A79748C" w14:textId="05C3F62E" w:rsidR="00971D45" w:rsidRPr="008809C8" w:rsidRDefault="00971D45" w:rsidP="00971D45">
      <w:pPr>
        <w:pStyle w:val="Caption"/>
        <w:keepNext/>
        <w:rPr>
          <w:rFonts w:ascii="Arial" w:hAnsi="Arial" w:cs="Arial"/>
          <w:sz w:val="20"/>
        </w:rPr>
      </w:pPr>
      <w:r w:rsidRPr="008809C8">
        <w:rPr>
          <w:rFonts w:ascii="Arial" w:hAnsi="Arial" w:cs="Arial"/>
          <w:sz w:val="20"/>
        </w:rPr>
        <w:t xml:space="preserve">Table </w:t>
      </w:r>
      <w:r w:rsidRPr="008809C8">
        <w:rPr>
          <w:rFonts w:ascii="Arial" w:hAnsi="Arial" w:cs="Arial"/>
          <w:sz w:val="20"/>
        </w:rPr>
        <w:fldChar w:fldCharType="begin"/>
      </w:r>
      <w:r w:rsidRPr="008809C8">
        <w:rPr>
          <w:rFonts w:ascii="Arial" w:hAnsi="Arial" w:cs="Arial"/>
          <w:sz w:val="20"/>
        </w:rPr>
        <w:instrText xml:space="preserve"> SEQ Table \* ARABIC </w:instrText>
      </w:r>
      <w:r w:rsidRPr="008809C8">
        <w:rPr>
          <w:rFonts w:ascii="Arial" w:hAnsi="Arial" w:cs="Arial"/>
          <w:sz w:val="20"/>
        </w:rPr>
        <w:fldChar w:fldCharType="separate"/>
      </w:r>
      <w:r>
        <w:rPr>
          <w:rFonts w:ascii="Arial" w:hAnsi="Arial" w:cs="Arial"/>
          <w:noProof/>
          <w:sz w:val="20"/>
        </w:rPr>
        <w:t>9</w:t>
      </w:r>
      <w:r w:rsidRPr="008809C8">
        <w:rPr>
          <w:rFonts w:ascii="Arial" w:hAnsi="Arial" w:cs="Arial"/>
          <w:sz w:val="20"/>
        </w:rPr>
        <w:fldChar w:fldCharType="end"/>
      </w:r>
      <w:r w:rsidRPr="008809C8">
        <w:rPr>
          <w:rFonts w:ascii="Arial" w:hAnsi="Arial" w:cs="Arial"/>
          <w:sz w:val="20"/>
        </w:rPr>
        <w:t xml:space="preserve"> </w:t>
      </w:r>
      <w:r w:rsidR="00F433A3">
        <w:rPr>
          <w:rFonts w:ascii="Arial" w:hAnsi="Arial" w:cs="Arial"/>
          <w:sz w:val="20"/>
        </w:rPr>
        <w:t xml:space="preserve">Service latency </w:t>
      </w:r>
      <w:r>
        <w:rPr>
          <w:rFonts w:ascii="Arial" w:hAnsi="Arial" w:cs="Arial"/>
          <w:sz w:val="20"/>
        </w:rPr>
        <w:t xml:space="preserve">at </w:t>
      </w:r>
      <w:r w:rsidR="004A67C4">
        <w:rPr>
          <w:rFonts w:ascii="Arial" w:hAnsi="Arial" w:cs="Arial"/>
          <w:sz w:val="20"/>
        </w:rPr>
        <w:t>high</w:t>
      </w:r>
      <w:r>
        <w:rPr>
          <w:rFonts w:ascii="Arial" w:hAnsi="Arial" w:cs="Arial"/>
          <w:sz w:val="20"/>
        </w:rPr>
        <w:t xml:space="preserve"> load</w:t>
      </w:r>
      <w:r w:rsidRPr="008809C8">
        <w:rPr>
          <w:rFonts w:ascii="Arial" w:hAnsi="Arial" w:cs="Arial"/>
          <w:sz w:val="20"/>
        </w:rPr>
        <w:t>.</w:t>
      </w:r>
    </w:p>
    <w:tbl>
      <w:tblPr>
        <w:tblStyle w:val="TableGrid"/>
        <w:tblW w:w="0" w:type="auto"/>
        <w:tblLook w:val="04A0" w:firstRow="1" w:lastRow="0" w:firstColumn="1" w:lastColumn="0" w:noHBand="0" w:noVBand="1"/>
      </w:tblPr>
      <w:tblGrid>
        <w:gridCol w:w="2407"/>
        <w:gridCol w:w="2407"/>
        <w:gridCol w:w="2407"/>
        <w:gridCol w:w="2408"/>
      </w:tblGrid>
      <w:tr w:rsidR="00971D45" w14:paraId="3A69C408" w14:textId="77777777" w:rsidTr="00EE24A1">
        <w:tc>
          <w:tcPr>
            <w:tcW w:w="2407" w:type="dxa"/>
          </w:tcPr>
          <w:p w14:paraId="50790450" w14:textId="77777777" w:rsidR="00971D45" w:rsidRPr="00EF2B93" w:rsidRDefault="00971D45" w:rsidP="00EE24A1">
            <w:pPr>
              <w:pStyle w:val="TAH"/>
              <w:overflowPunct w:val="0"/>
              <w:autoSpaceDE w:val="0"/>
              <w:autoSpaceDN w:val="0"/>
              <w:adjustRightInd w:val="0"/>
              <w:rPr>
                <w:lang w:val="en-US"/>
              </w:rPr>
            </w:pPr>
            <w:r>
              <w:rPr>
                <w:lang w:val="en-US"/>
              </w:rPr>
              <w:t>Service latency</w:t>
            </w:r>
          </w:p>
        </w:tc>
        <w:tc>
          <w:tcPr>
            <w:tcW w:w="2407" w:type="dxa"/>
          </w:tcPr>
          <w:p w14:paraId="4DA748A7" w14:textId="77777777" w:rsidR="00971D45" w:rsidRPr="00EF2B93" w:rsidRDefault="00971D45" w:rsidP="00EE24A1">
            <w:pPr>
              <w:pStyle w:val="TAH"/>
              <w:overflowPunct w:val="0"/>
              <w:autoSpaceDE w:val="0"/>
              <w:autoSpaceDN w:val="0"/>
              <w:adjustRightInd w:val="0"/>
              <w:rPr>
                <w:lang w:val="en-US"/>
              </w:rPr>
            </w:pPr>
            <w:r w:rsidRPr="00EF2B93">
              <w:rPr>
                <w:lang w:val="en-US"/>
              </w:rPr>
              <w:t>eMTC narrowband</w:t>
            </w:r>
          </w:p>
        </w:tc>
        <w:tc>
          <w:tcPr>
            <w:tcW w:w="2407" w:type="dxa"/>
          </w:tcPr>
          <w:p w14:paraId="259B1579" w14:textId="77777777" w:rsidR="00971D45" w:rsidRPr="00EF2B93" w:rsidRDefault="00971D45" w:rsidP="00EE24A1">
            <w:pPr>
              <w:pStyle w:val="TAH"/>
              <w:overflowPunct w:val="0"/>
              <w:autoSpaceDE w:val="0"/>
              <w:autoSpaceDN w:val="0"/>
              <w:adjustRightInd w:val="0"/>
              <w:rPr>
                <w:lang w:val="en-US"/>
              </w:rPr>
            </w:pPr>
            <w:r w:rsidRPr="00EF2B93">
              <w:rPr>
                <w:lang w:val="en-US"/>
              </w:rPr>
              <w:t>NB-IoT anchor</w:t>
            </w:r>
          </w:p>
        </w:tc>
        <w:tc>
          <w:tcPr>
            <w:tcW w:w="2408" w:type="dxa"/>
          </w:tcPr>
          <w:p w14:paraId="49937E86" w14:textId="77777777" w:rsidR="00971D45" w:rsidRPr="00EF2B93" w:rsidRDefault="00971D45" w:rsidP="00EE24A1">
            <w:pPr>
              <w:pStyle w:val="TAH"/>
              <w:overflowPunct w:val="0"/>
              <w:autoSpaceDE w:val="0"/>
              <w:autoSpaceDN w:val="0"/>
              <w:adjustRightInd w:val="0"/>
              <w:rPr>
                <w:lang w:val="en-US"/>
              </w:rPr>
            </w:pPr>
            <w:r w:rsidRPr="00EF2B93">
              <w:rPr>
                <w:lang w:val="en-US"/>
              </w:rPr>
              <w:t>NB-IoT non-anchor</w:t>
            </w:r>
          </w:p>
        </w:tc>
      </w:tr>
      <w:tr w:rsidR="00971D45" w14:paraId="13DFD9C5" w14:textId="77777777" w:rsidTr="00EE24A1">
        <w:tc>
          <w:tcPr>
            <w:tcW w:w="2407" w:type="dxa"/>
          </w:tcPr>
          <w:p w14:paraId="06922939" w14:textId="77777777" w:rsidR="00971D45" w:rsidRPr="00EF2B93" w:rsidRDefault="00971D45" w:rsidP="00EE24A1">
            <w:pPr>
              <w:pStyle w:val="TAC"/>
              <w:overflowPunct w:val="0"/>
              <w:autoSpaceDE w:val="0"/>
              <w:autoSpaceDN w:val="0"/>
              <w:adjustRightInd w:val="0"/>
              <w:jc w:val="left"/>
              <w:rPr>
                <w:lang w:val="en-US"/>
              </w:rPr>
            </w:pPr>
            <w:r>
              <w:rPr>
                <w:lang w:val="en-US"/>
              </w:rPr>
              <w:t>At the 50</w:t>
            </w:r>
            <w:r w:rsidRPr="00FE5AAE">
              <w:rPr>
                <w:vertAlign w:val="superscript"/>
                <w:lang w:val="en-US"/>
              </w:rPr>
              <w:t xml:space="preserve">th </w:t>
            </w:r>
            <w:r>
              <w:rPr>
                <w:lang w:val="en-US"/>
              </w:rPr>
              <w:t>percentile</w:t>
            </w:r>
          </w:p>
        </w:tc>
        <w:tc>
          <w:tcPr>
            <w:tcW w:w="2407" w:type="dxa"/>
          </w:tcPr>
          <w:p w14:paraId="304419AB" w14:textId="1E406BAC" w:rsidR="00971D45" w:rsidRPr="00EF2B93" w:rsidRDefault="00BC38C6" w:rsidP="00EE24A1">
            <w:pPr>
              <w:pStyle w:val="TAC"/>
              <w:overflowPunct w:val="0"/>
              <w:autoSpaceDE w:val="0"/>
              <w:autoSpaceDN w:val="0"/>
              <w:adjustRightInd w:val="0"/>
              <w:rPr>
                <w:lang w:val="en-US"/>
              </w:rPr>
            </w:pPr>
            <w:r>
              <w:rPr>
                <w:lang w:val="en-US"/>
              </w:rPr>
              <w:t>0.15 s</w:t>
            </w:r>
          </w:p>
        </w:tc>
        <w:tc>
          <w:tcPr>
            <w:tcW w:w="2407" w:type="dxa"/>
          </w:tcPr>
          <w:p w14:paraId="3F99842C" w14:textId="1C743D0F" w:rsidR="00971D45" w:rsidRPr="00EF2B93" w:rsidRDefault="00BC38C6" w:rsidP="00EE24A1">
            <w:pPr>
              <w:pStyle w:val="TAC"/>
              <w:overflowPunct w:val="0"/>
              <w:autoSpaceDE w:val="0"/>
              <w:autoSpaceDN w:val="0"/>
              <w:adjustRightInd w:val="0"/>
              <w:rPr>
                <w:lang w:val="en-US"/>
              </w:rPr>
            </w:pPr>
            <w:r>
              <w:rPr>
                <w:lang w:val="en-US"/>
              </w:rPr>
              <w:t>0.31 s</w:t>
            </w:r>
          </w:p>
        </w:tc>
        <w:tc>
          <w:tcPr>
            <w:tcW w:w="2408" w:type="dxa"/>
          </w:tcPr>
          <w:p w14:paraId="7F7057A9" w14:textId="31FD3790" w:rsidR="00971D45" w:rsidRPr="00EF2B93" w:rsidRDefault="00BC38C6" w:rsidP="00EE24A1">
            <w:pPr>
              <w:pStyle w:val="TAC"/>
              <w:overflowPunct w:val="0"/>
              <w:autoSpaceDE w:val="0"/>
              <w:autoSpaceDN w:val="0"/>
              <w:adjustRightInd w:val="0"/>
              <w:rPr>
                <w:lang w:val="en-US"/>
              </w:rPr>
            </w:pPr>
            <w:r>
              <w:rPr>
                <w:lang w:val="en-US"/>
              </w:rPr>
              <w:t>0.31 s</w:t>
            </w:r>
          </w:p>
        </w:tc>
      </w:tr>
      <w:tr w:rsidR="00971D45" w14:paraId="23766408" w14:textId="77777777" w:rsidTr="00EE24A1">
        <w:tc>
          <w:tcPr>
            <w:tcW w:w="2407" w:type="dxa"/>
          </w:tcPr>
          <w:p w14:paraId="0DB21949" w14:textId="77777777" w:rsidR="00971D45" w:rsidRPr="00EF2B93" w:rsidRDefault="00971D45" w:rsidP="00EE24A1">
            <w:pPr>
              <w:pStyle w:val="TAC"/>
              <w:overflowPunct w:val="0"/>
              <w:autoSpaceDE w:val="0"/>
              <w:autoSpaceDN w:val="0"/>
              <w:adjustRightInd w:val="0"/>
              <w:jc w:val="left"/>
              <w:rPr>
                <w:lang w:val="en-US"/>
              </w:rPr>
            </w:pPr>
            <w:r>
              <w:rPr>
                <w:lang w:val="en-US"/>
              </w:rPr>
              <w:t>At the 90</w:t>
            </w:r>
            <w:r w:rsidRPr="00FE5AAE">
              <w:rPr>
                <w:vertAlign w:val="superscript"/>
                <w:lang w:val="en-US"/>
              </w:rPr>
              <w:t xml:space="preserve">th </w:t>
            </w:r>
            <w:r>
              <w:rPr>
                <w:lang w:val="en-US"/>
              </w:rPr>
              <w:t>percentile</w:t>
            </w:r>
          </w:p>
        </w:tc>
        <w:tc>
          <w:tcPr>
            <w:tcW w:w="2407" w:type="dxa"/>
          </w:tcPr>
          <w:p w14:paraId="0480BA46" w14:textId="0B9777E1" w:rsidR="00971D45" w:rsidRPr="00EF2B93" w:rsidRDefault="00BC38C6" w:rsidP="00EE24A1">
            <w:pPr>
              <w:pStyle w:val="TAC"/>
              <w:overflowPunct w:val="0"/>
              <w:autoSpaceDE w:val="0"/>
              <w:autoSpaceDN w:val="0"/>
              <w:adjustRightInd w:val="0"/>
              <w:rPr>
                <w:lang w:val="en-US"/>
              </w:rPr>
            </w:pPr>
            <w:r>
              <w:rPr>
                <w:lang w:val="en-US"/>
              </w:rPr>
              <w:t>0.23 s</w:t>
            </w:r>
          </w:p>
        </w:tc>
        <w:tc>
          <w:tcPr>
            <w:tcW w:w="2407" w:type="dxa"/>
          </w:tcPr>
          <w:p w14:paraId="5976BE1C" w14:textId="7680F8B4" w:rsidR="00971D45" w:rsidRPr="00EF2B93" w:rsidRDefault="00BC38C6" w:rsidP="00EE24A1">
            <w:pPr>
              <w:pStyle w:val="TAC"/>
              <w:overflowPunct w:val="0"/>
              <w:autoSpaceDE w:val="0"/>
              <w:autoSpaceDN w:val="0"/>
              <w:adjustRightInd w:val="0"/>
              <w:rPr>
                <w:lang w:val="en-US"/>
              </w:rPr>
            </w:pPr>
            <w:r>
              <w:rPr>
                <w:lang w:val="en-US"/>
              </w:rPr>
              <w:t>0.62 s</w:t>
            </w:r>
          </w:p>
        </w:tc>
        <w:tc>
          <w:tcPr>
            <w:tcW w:w="2408" w:type="dxa"/>
          </w:tcPr>
          <w:p w14:paraId="3B68183B" w14:textId="6B2787D2" w:rsidR="00971D45" w:rsidRPr="00EF2B93" w:rsidRDefault="00BC38C6" w:rsidP="00EE24A1">
            <w:pPr>
              <w:pStyle w:val="TAC"/>
              <w:overflowPunct w:val="0"/>
              <w:autoSpaceDE w:val="0"/>
              <w:autoSpaceDN w:val="0"/>
              <w:adjustRightInd w:val="0"/>
              <w:rPr>
                <w:lang w:val="en-US"/>
              </w:rPr>
            </w:pPr>
            <w:r>
              <w:rPr>
                <w:lang w:val="en-US"/>
              </w:rPr>
              <w:t>0.62 s</w:t>
            </w:r>
          </w:p>
        </w:tc>
      </w:tr>
      <w:tr w:rsidR="00971D45" w14:paraId="2EE8875C" w14:textId="77777777" w:rsidTr="00EE24A1">
        <w:tc>
          <w:tcPr>
            <w:tcW w:w="2407" w:type="dxa"/>
          </w:tcPr>
          <w:p w14:paraId="0FE83D28" w14:textId="77777777" w:rsidR="00971D45" w:rsidRPr="00EF2B93" w:rsidRDefault="00971D45" w:rsidP="00EE24A1">
            <w:pPr>
              <w:pStyle w:val="TAC"/>
              <w:overflowPunct w:val="0"/>
              <w:autoSpaceDE w:val="0"/>
              <w:autoSpaceDN w:val="0"/>
              <w:adjustRightInd w:val="0"/>
              <w:jc w:val="left"/>
              <w:rPr>
                <w:lang w:val="en-US"/>
              </w:rPr>
            </w:pPr>
            <w:r>
              <w:rPr>
                <w:lang w:val="en-US"/>
              </w:rPr>
              <w:t>At the 99</w:t>
            </w:r>
            <w:r w:rsidRPr="00465AC4">
              <w:rPr>
                <w:vertAlign w:val="superscript"/>
                <w:lang w:val="en-US"/>
              </w:rPr>
              <w:t xml:space="preserve">th </w:t>
            </w:r>
            <w:r>
              <w:rPr>
                <w:lang w:val="en-US"/>
              </w:rPr>
              <w:t>percentile</w:t>
            </w:r>
          </w:p>
        </w:tc>
        <w:tc>
          <w:tcPr>
            <w:tcW w:w="2407" w:type="dxa"/>
          </w:tcPr>
          <w:p w14:paraId="5B7EEE7D" w14:textId="75EA111D" w:rsidR="00971D45" w:rsidRPr="00EF2B93" w:rsidRDefault="00BC38C6" w:rsidP="00EE24A1">
            <w:pPr>
              <w:pStyle w:val="TAC"/>
              <w:overflowPunct w:val="0"/>
              <w:autoSpaceDE w:val="0"/>
              <w:autoSpaceDN w:val="0"/>
              <w:adjustRightInd w:val="0"/>
              <w:rPr>
                <w:lang w:val="en-US"/>
              </w:rPr>
            </w:pPr>
            <w:r>
              <w:rPr>
                <w:lang w:val="en-US"/>
              </w:rPr>
              <w:t>0.85 s</w:t>
            </w:r>
          </w:p>
        </w:tc>
        <w:tc>
          <w:tcPr>
            <w:tcW w:w="2407" w:type="dxa"/>
          </w:tcPr>
          <w:p w14:paraId="2F900BC6" w14:textId="6B314832" w:rsidR="00971D45" w:rsidRPr="00EF2B93" w:rsidRDefault="00BC38C6" w:rsidP="00EE24A1">
            <w:pPr>
              <w:pStyle w:val="TAC"/>
              <w:overflowPunct w:val="0"/>
              <w:autoSpaceDE w:val="0"/>
              <w:autoSpaceDN w:val="0"/>
              <w:adjustRightInd w:val="0"/>
              <w:rPr>
                <w:lang w:val="en-US"/>
              </w:rPr>
            </w:pPr>
            <w:r>
              <w:rPr>
                <w:lang w:val="en-US"/>
              </w:rPr>
              <w:t>1.9 s</w:t>
            </w:r>
          </w:p>
        </w:tc>
        <w:tc>
          <w:tcPr>
            <w:tcW w:w="2408" w:type="dxa"/>
          </w:tcPr>
          <w:p w14:paraId="44208704" w14:textId="20AC9597" w:rsidR="00971D45" w:rsidRPr="00EF2B93" w:rsidRDefault="00BC38C6" w:rsidP="00EE24A1">
            <w:pPr>
              <w:pStyle w:val="TAC"/>
              <w:overflowPunct w:val="0"/>
              <w:autoSpaceDE w:val="0"/>
              <w:autoSpaceDN w:val="0"/>
              <w:adjustRightInd w:val="0"/>
              <w:rPr>
                <w:lang w:val="en-US"/>
              </w:rPr>
            </w:pPr>
            <w:r>
              <w:rPr>
                <w:lang w:val="en-US"/>
              </w:rPr>
              <w:t>4.5 s</w:t>
            </w:r>
          </w:p>
        </w:tc>
      </w:tr>
    </w:tbl>
    <w:p w14:paraId="2FD3C6AC" w14:textId="77777777" w:rsidR="00971D45" w:rsidRPr="00971D45" w:rsidRDefault="00971D45" w:rsidP="00971D45"/>
    <w:p w14:paraId="4DEB5082" w14:textId="2AF15633" w:rsidR="004E6350" w:rsidRDefault="00C4785A" w:rsidP="009C6705">
      <w:pPr>
        <w:jc w:val="center"/>
      </w:pPr>
      <w:r>
        <w:rPr>
          <w:noProof/>
          <w:lang w:val="en-US" w:eastAsia="en-US"/>
        </w:rPr>
        <w:lastRenderedPageBreak/>
        <w:drawing>
          <wp:inline distT="0" distB="0" distL="0" distR="0" wp14:anchorId="0784A165" wp14:editId="640D0C9A">
            <wp:extent cx="5040975" cy="3602438"/>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MTC_NB-IoT_latency_low_load.png"/>
                    <pic:cNvPicPr/>
                  </pic:nvPicPr>
                  <pic:blipFill>
                    <a:blip r:embed="rId13">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63F976A3" w14:textId="10B330D1" w:rsidR="002E12DC" w:rsidRDefault="002E12DC" w:rsidP="002E12DC">
      <w:pPr>
        <w:keepNext/>
      </w:pPr>
    </w:p>
    <w:p w14:paraId="2A00EC15" w14:textId="30C1C151" w:rsidR="00AD08E6" w:rsidRPr="00A41460" w:rsidRDefault="002E12DC" w:rsidP="00A41460">
      <w:pPr>
        <w:pStyle w:val="Caption"/>
        <w:rPr>
          <w:rFonts w:ascii="Arial" w:hAnsi="Arial" w:cs="Arial"/>
          <w:sz w:val="20"/>
        </w:rPr>
      </w:pPr>
      <w:bookmarkStart w:id="17" w:name="_Ref474708255"/>
      <w:r w:rsidRPr="00A41460">
        <w:rPr>
          <w:rFonts w:ascii="Arial" w:hAnsi="Arial" w:cs="Arial"/>
          <w:sz w:val="20"/>
        </w:rPr>
        <w:t xml:space="preserve">Figure </w:t>
      </w:r>
      <w:r w:rsidRPr="00A41460">
        <w:rPr>
          <w:rFonts w:ascii="Arial" w:hAnsi="Arial" w:cs="Arial"/>
          <w:sz w:val="20"/>
        </w:rPr>
        <w:fldChar w:fldCharType="begin"/>
      </w:r>
      <w:r w:rsidRPr="00A41460">
        <w:rPr>
          <w:rFonts w:ascii="Arial" w:hAnsi="Arial" w:cs="Arial"/>
          <w:sz w:val="20"/>
        </w:rPr>
        <w:instrText xml:space="preserve"> SEQ Figure \* ARABIC </w:instrText>
      </w:r>
      <w:r w:rsidRPr="00A41460">
        <w:rPr>
          <w:rFonts w:ascii="Arial" w:hAnsi="Arial" w:cs="Arial"/>
          <w:sz w:val="20"/>
        </w:rPr>
        <w:fldChar w:fldCharType="separate"/>
      </w:r>
      <w:r w:rsidR="00140E5C">
        <w:rPr>
          <w:rFonts w:ascii="Arial" w:hAnsi="Arial" w:cs="Arial"/>
          <w:noProof/>
          <w:sz w:val="20"/>
        </w:rPr>
        <w:t>5</w:t>
      </w:r>
      <w:r w:rsidRPr="00A41460">
        <w:rPr>
          <w:rFonts w:ascii="Arial" w:hAnsi="Arial" w:cs="Arial"/>
          <w:sz w:val="20"/>
        </w:rPr>
        <w:fldChar w:fldCharType="end"/>
      </w:r>
      <w:bookmarkEnd w:id="17"/>
      <w:r w:rsidRPr="00A41460">
        <w:rPr>
          <w:rFonts w:ascii="Arial" w:hAnsi="Arial" w:cs="Arial"/>
          <w:sz w:val="20"/>
        </w:rPr>
        <w:t xml:space="preserve"> </w:t>
      </w:r>
      <w:r w:rsidR="005F31C6">
        <w:rPr>
          <w:rFonts w:ascii="Arial" w:hAnsi="Arial" w:cs="Arial"/>
          <w:sz w:val="20"/>
        </w:rPr>
        <w:t xml:space="preserve">Service latency at a </w:t>
      </w:r>
      <w:r w:rsidR="009A6F84">
        <w:rPr>
          <w:rFonts w:ascii="Arial" w:hAnsi="Arial" w:cs="Arial"/>
          <w:sz w:val="20"/>
        </w:rPr>
        <w:t>high</w:t>
      </w:r>
      <w:r w:rsidR="005F31C6">
        <w:rPr>
          <w:rFonts w:ascii="Arial" w:hAnsi="Arial" w:cs="Arial"/>
          <w:sz w:val="20"/>
        </w:rPr>
        <w:t xml:space="preserve"> system load for eMTC and NB-IoT</w:t>
      </w:r>
    </w:p>
    <w:p w14:paraId="7AF95F47" w14:textId="77777777" w:rsidR="001B4C46" w:rsidRPr="00282882" w:rsidRDefault="001B4C46" w:rsidP="00CB6A16">
      <w:pPr>
        <w:pStyle w:val="Heading1"/>
      </w:pPr>
      <w:r w:rsidRPr="00282882">
        <w:t>Conclusions</w:t>
      </w:r>
    </w:p>
    <w:p w14:paraId="00512626" w14:textId="7289FCF9" w:rsidR="00550248" w:rsidRDefault="00550248" w:rsidP="00CB6A16">
      <w:pPr>
        <w:spacing w:after="200" w:line="276" w:lineRule="auto"/>
        <w:contextualSpacing/>
        <w:rPr>
          <w:rFonts w:ascii="Arial" w:hAnsi="Arial" w:cs="Arial"/>
          <w:sz w:val="20"/>
          <w:szCs w:val="22"/>
        </w:rPr>
      </w:pPr>
      <w:r w:rsidRPr="003A7C3F">
        <w:rPr>
          <w:rFonts w:ascii="Arial" w:hAnsi="Arial" w:cs="Arial"/>
          <w:sz w:val="20"/>
          <w:szCs w:val="22"/>
        </w:rPr>
        <w:t xml:space="preserve">In this paper we </w:t>
      </w:r>
      <w:r w:rsidR="00E12417" w:rsidRPr="003A7C3F">
        <w:rPr>
          <w:rFonts w:ascii="Arial" w:hAnsi="Arial" w:cs="Arial"/>
          <w:sz w:val="20"/>
          <w:szCs w:val="22"/>
        </w:rPr>
        <w:t>have presented a common framework for evaluating the</w:t>
      </w:r>
      <w:r w:rsidRPr="003A7C3F">
        <w:rPr>
          <w:rFonts w:ascii="Arial" w:hAnsi="Arial" w:cs="Arial"/>
          <w:sz w:val="20"/>
          <w:szCs w:val="22"/>
        </w:rPr>
        <w:t xml:space="preserve"> agreed </w:t>
      </w:r>
      <w:r w:rsidR="00E12417" w:rsidRPr="003A7C3F">
        <w:rPr>
          <w:rFonts w:ascii="Arial" w:hAnsi="Arial" w:cs="Arial"/>
          <w:sz w:val="20"/>
          <w:szCs w:val="22"/>
        </w:rPr>
        <w:t xml:space="preserve">mMTC </w:t>
      </w:r>
      <w:r w:rsidRPr="003A7C3F">
        <w:rPr>
          <w:rFonts w:ascii="Arial" w:hAnsi="Arial" w:cs="Arial"/>
          <w:sz w:val="20"/>
          <w:szCs w:val="22"/>
        </w:rPr>
        <w:t xml:space="preserve">KPI on </w:t>
      </w:r>
      <w:r w:rsidR="008812FE">
        <w:rPr>
          <w:rFonts w:ascii="Arial" w:hAnsi="Arial" w:cs="Arial"/>
          <w:sz w:val="20"/>
          <w:szCs w:val="22"/>
        </w:rPr>
        <w:t>connection density</w:t>
      </w:r>
      <w:r w:rsidR="007469B1" w:rsidRPr="003A7C3F">
        <w:rPr>
          <w:rFonts w:ascii="Arial" w:hAnsi="Arial" w:cs="Arial"/>
          <w:sz w:val="20"/>
          <w:szCs w:val="22"/>
        </w:rPr>
        <w:t xml:space="preserve"> </w:t>
      </w:r>
      <w:r w:rsidR="00E12417" w:rsidRPr="003A7C3F">
        <w:rPr>
          <w:rFonts w:ascii="Arial" w:hAnsi="Arial" w:cs="Arial"/>
          <w:sz w:val="20"/>
          <w:szCs w:val="22"/>
        </w:rPr>
        <w:t>during the IMT 2020 mMTC self-evaluations,</w:t>
      </w:r>
      <w:r w:rsidRPr="003A7C3F">
        <w:rPr>
          <w:rFonts w:ascii="Arial" w:hAnsi="Arial" w:cs="Arial"/>
          <w:sz w:val="20"/>
          <w:szCs w:val="22"/>
        </w:rPr>
        <w:t xml:space="preserve"> and made the following </w:t>
      </w:r>
      <w:r w:rsidR="008812FE">
        <w:rPr>
          <w:rFonts w:ascii="Arial" w:hAnsi="Arial" w:cs="Arial"/>
          <w:sz w:val="20"/>
          <w:szCs w:val="22"/>
        </w:rPr>
        <w:t xml:space="preserve">observations and </w:t>
      </w:r>
      <w:r w:rsidRPr="003A7C3F">
        <w:rPr>
          <w:rFonts w:ascii="Arial" w:hAnsi="Arial" w:cs="Arial"/>
          <w:sz w:val="20"/>
          <w:szCs w:val="22"/>
        </w:rPr>
        <w:t>proposals:</w:t>
      </w:r>
    </w:p>
    <w:p w14:paraId="42401C12" w14:textId="77777777" w:rsidR="00F433A3" w:rsidRPr="00F979C9" w:rsidRDefault="00F433A3" w:rsidP="00F433A3">
      <w:pPr>
        <w:tabs>
          <w:tab w:val="left" w:pos="5245"/>
        </w:tabs>
        <w:rPr>
          <w:rFonts w:ascii="Arial" w:hAnsi="Arial" w:cs="Arial"/>
          <w:b/>
          <w:sz w:val="20"/>
        </w:rPr>
      </w:pPr>
      <w:r>
        <w:rPr>
          <w:rFonts w:ascii="Arial" w:hAnsi="Arial" w:cs="Arial"/>
          <w:b/>
          <w:sz w:val="20"/>
        </w:rPr>
        <w:t xml:space="preserve">Proposal 1: Follow the Release 13 MAR and NC traffic models described in TR 45.820 </w:t>
      </w:r>
      <w:r>
        <w:rPr>
          <w:rFonts w:ascii="Arial" w:hAnsi="Arial" w:cs="Arial"/>
          <w:b/>
          <w:sz w:val="20"/>
        </w:rPr>
        <w:fldChar w:fldCharType="begin"/>
      </w:r>
      <w:r>
        <w:rPr>
          <w:rFonts w:ascii="Arial" w:hAnsi="Arial" w:cs="Arial"/>
          <w:b/>
          <w:sz w:val="20"/>
        </w:rPr>
        <w:instrText xml:space="preserve"> REF _Ref463001619 \r \h </w:instrText>
      </w:r>
      <w:r>
        <w:rPr>
          <w:rFonts w:ascii="Arial" w:hAnsi="Arial" w:cs="Arial"/>
          <w:b/>
          <w:sz w:val="20"/>
        </w:rPr>
      </w:r>
      <w:r>
        <w:rPr>
          <w:rFonts w:ascii="Arial" w:hAnsi="Arial" w:cs="Arial"/>
          <w:b/>
          <w:sz w:val="20"/>
        </w:rPr>
        <w:fldChar w:fldCharType="separate"/>
      </w:r>
      <w:r>
        <w:rPr>
          <w:rFonts w:ascii="Arial" w:hAnsi="Arial" w:cs="Arial"/>
          <w:b/>
          <w:sz w:val="20"/>
        </w:rPr>
        <w:t>[3]</w:t>
      </w:r>
      <w:r>
        <w:rPr>
          <w:rFonts w:ascii="Arial" w:hAnsi="Arial" w:cs="Arial"/>
          <w:b/>
          <w:sz w:val="20"/>
        </w:rPr>
        <w:fldChar w:fldCharType="end"/>
      </w:r>
      <w:r>
        <w:rPr>
          <w:rFonts w:ascii="Arial" w:hAnsi="Arial" w:cs="Arial"/>
          <w:b/>
          <w:sz w:val="20"/>
        </w:rPr>
        <w:t xml:space="preserve"> and summarized herein when evaluating NB-IoT and eMTC in the IMT-2020 self-evaluations.</w:t>
      </w:r>
    </w:p>
    <w:p w14:paraId="400DBCC3" w14:textId="77777777" w:rsidR="00F433A3" w:rsidRDefault="00F433A3" w:rsidP="00F433A3">
      <w:pPr>
        <w:rPr>
          <w:rFonts w:ascii="Arial" w:hAnsi="Arial" w:cs="Arial"/>
          <w:b/>
          <w:sz w:val="20"/>
        </w:rPr>
      </w:pPr>
      <w:r w:rsidRPr="00EC72C3">
        <w:rPr>
          <w:rFonts w:ascii="Arial" w:hAnsi="Arial" w:cs="Arial"/>
          <w:b/>
          <w:sz w:val="20"/>
        </w:rPr>
        <w:t>Proposal</w:t>
      </w:r>
      <w:r>
        <w:rPr>
          <w:rFonts w:ascii="Arial" w:hAnsi="Arial" w:cs="Arial"/>
          <w:b/>
          <w:sz w:val="20"/>
        </w:rPr>
        <w:t xml:space="preserve"> 2</w:t>
      </w:r>
      <w:r w:rsidRPr="00EC72C3">
        <w:rPr>
          <w:rFonts w:ascii="Arial" w:hAnsi="Arial" w:cs="Arial"/>
          <w:b/>
          <w:sz w:val="20"/>
        </w:rPr>
        <w:t>:</w:t>
      </w:r>
      <w:r>
        <w:rPr>
          <w:rFonts w:ascii="Arial" w:hAnsi="Arial" w:cs="Arial"/>
          <w:sz w:val="20"/>
        </w:rPr>
        <w:t xml:space="preserve"> </w:t>
      </w:r>
      <w:r>
        <w:rPr>
          <w:rFonts w:ascii="Arial" w:hAnsi="Arial" w:cs="Arial"/>
          <w:b/>
          <w:sz w:val="20"/>
        </w:rPr>
        <w:t xml:space="preserve">Reuse  the TR 45.820 </w:t>
      </w:r>
      <w:r>
        <w:rPr>
          <w:rFonts w:ascii="Arial" w:hAnsi="Arial" w:cs="Arial"/>
          <w:b/>
          <w:sz w:val="20"/>
        </w:rPr>
        <w:fldChar w:fldCharType="begin"/>
      </w:r>
      <w:r>
        <w:rPr>
          <w:rFonts w:ascii="Arial" w:hAnsi="Arial" w:cs="Arial"/>
          <w:b/>
          <w:sz w:val="20"/>
        </w:rPr>
        <w:instrText xml:space="preserve"> REF _Ref463001619 \r \h </w:instrText>
      </w:r>
      <w:r>
        <w:rPr>
          <w:rFonts w:ascii="Arial" w:hAnsi="Arial" w:cs="Arial"/>
          <w:b/>
          <w:sz w:val="20"/>
        </w:rPr>
      </w:r>
      <w:r>
        <w:rPr>
          <w:rFonts w:ascii="Arial" w:hAnsi="Arial" w:cs="Arial"/>
          <w:b/>
          <w:sz w:val="20"/>
        </w:rPr>
        <w:fldChar w:fldCharType="separate"/>
      </w:r>
      <w:r>
        <w:rPr>
          <w:rFonts w:ascii="Arial" w:hAnsi="Arial" w:cs="Arial"/>
          <w:b/>
          <w:sz w:val="20"/>
        </w:rPr>
        <w:t>[3]</w:t>
      </w:r>
      <w:r>
        <w:rPr>
          <w:rFonts w:ascii="Arial" w:hAnsi="Arial" w:cs="Arial"/>
          <w:b/>
          <w:sz w:val="20"/>
        </w:rPr>
        <w:fldChar w:fldCharType="end"/>
      </w:r>
      <w:r>
        <w:rPr>
          <w:rFonts w:ascii="Arial" w:hAnsi="Arial" w:cs="Arial"/>
          <w:b/>
          <w:sz w:val="20"/>
        </w:rPr>
        <w:t xml:space="preserve"> channel models described above when evaluating NB-IoT and eMTC in the IMT-2020 self-evaluations.</w:t>
      </w:r>
    </w:p>
    <w:p w14:paraId="0450D457" w14:textId="77777777" w:rsidR="00F433A3" w:rsidRPr="00BD2F8D" w:rsidRDefault="00F433A3" w:rsidP="00F433A3">
      <w:pPr>
        <w:rPr>
          <w:rFonts w:ascii="Arial" w:hAnsi="Arial" w:cs="Arial"/>
          <w:b/>
          <w:sz w:val="20"/>
        </w:rPr>
      </w:pPr>
      <w:r>
        <w:rPr>
          <w:rFonts w:ascii="Arial" w:hAnsi="Arial" w:cs="Arial"/>
          <w:b/>
          <w:sz w:val="20"/>
        </w:rPr>
        <w:t>Proposal 3</w:t>
      </w:r>
      <w:r w:rsidRPr="00BD2F8D">
        <w:rPr>
          <w:rFonts w:ascii="Arial" w:hAnsi="Arial" w:cs="Arial"/>
          <w:b/>
          <w:sz w:val="20"/>
        </w:rPr>
        <w:t xml:space="preserve">: The </w:t>
      </w:r>
      <w:r>
        <w:rPr>
          <w:rFonts w:ascii="Arial" w:hAnsi="Arial" w:cs="Arial"/>
          <w:b/>
          <w:sz w:val="20"/>
        </w:rPr>
        <w:t xml:space="preserve">TR 38.913 Connection density </w:t>
      </w:r>
      <w:r w:rsidRPr="00BD2F8D">
        <w:rPr>
          <w:rFonts w:ascii="Arial" w:hAnsi="Arial" w:cs="Arial"/>
          <w:b/>
          <w:sz w:val="20"/>
        </w:rPr>
        <w:t xml:space="preserve">Packet drop rate requirement </w:t>
      </w:r>
      <w:r>
        <w:rPr>
          <w:rFonts w:ascii="Arial" w:hAnsi="Arial" w:cs="Arial"/>
          <w:b/>
          <w:sz w:val="20"/>
        </w:rPr>
        <w:t>is interpreted as</w:t>
      </w:r>
      <w:r w:rsidRPr="00BD2F8D">
        <w:rPr>
          <w:rFonts w:ascii="Arial" w:hAnsi="Arial" w:cs="Arial"/>
          <w:b/>
          <w:sz w:val="20"/>
        </w:rPr>
        <w:t xml:space="preserve"> an outage requirement of 1%, implying that the connection density should be provided at the point where 99% of all users are served by the system. </w:t>
      </w:r>
    </w:p>
    <w:p w14:paraId="7F83AA8B" w14:textId="77777777" w:rsidR="00F433A3" w:rsidRDefault="00F433A3" w:rsidP="00F433A3">
      <w:pPr>
        <w:tabs>
          <w:tab w:val="left" w:pos="5245"/>
        </w:tabs>
        <w:rPr>
          <w:rFonts w:ascii="Arial" w:hAnsi="Arial" w:cs="Arial"/>
          <w:sz w:val="20"/>
        </w:rPr>
      </w:pPr>
      <w:r>
        <w:rPr>
          <w:rFonts w:ascii="Arial" w:hAnsi="Arial" w:cs="Arial"/>
          <w:b/>
          <w:sz w:val="20"/>
        </w:rPr>
        <w:t>Proposal 4: The packet dropping timer should be started when upper layers triggers an attempt to access the system for the purpose of initiating a data transfer. The timer is terminated when the data has been delivered by the receiver.</w:t>
      </w:r>
    </w:p>
    <w:p w14:paraId="421DD6A2" w14:textId="77777777" w:rsidR="009D28F7" w:rsidRPr="003666E8" w:rsidRDefault="009D28F7" w:rsidP="009D28F7">
      <w:pPr>
        <w:tabs>
          <w:tab w:val="left" w:pos="5245"/>
        </w:tabs>
        <w:rPr>
          <w:rFonts w:ascii="Arial" w:hAnsi="Arial" w:cs="Arial"/>
          <w:b/>
          <w:sz w:val="20"/>
        </w:rPr>
      </w:pPr>
      <w:r w:rsidRPr="003666E8">
        <w:rPr>
          <w:rFonts w:ascii="Arial" w:hAnsi="Arial" w:cs="Arial"/>
          <w:b/>
          <w:sz w:val="20"/>
        </w:rPr>
        <w:t>Proposal</w:t>
      </w:r>
      <w:r>
        <w:rPr>
          <w:rFonts w:ascii="Arial" w:hAnsi="Arial" w:cs="Arial"/>
          <w:b/>
          <w:sz w:val="20"/>
        </w:rPr>
        <w:t xml:space="preserve"> 5</w:t>
      </w:r>
      <w:r w:rsidRPr="003666E8">
        <w:rPr>
          <w:rFonts w:ascii="Arial" w:hAnsi="Arial" w:cs="Arial"/>
          <w:b/>
          <w:sz w:val="20"/>
        </w:rPr>
        <w:t>: The packet drop timer is to be declared and service latency performance is to be presented when presenting the achieved connection density.</w:t>
      </w:r>
    </w:p>
    <w:p w14:paraId="1D397376" w14:textId="0DD78623" w:rsidR="0062504A" w:rsidRPr="003A7C3F" w:rsidRDefault="0062504A" w:rsidP="0062504A">
      <w:pPr>
        <w:tabs>
          <w:tab w:val="left" w:pos="5245"/>
        </w:tabs>
        <w:rPr>
          <w:rFonts w:ascii="Arial" w:hAnsi="Arial" w:cs="Arial"/>
          <w:b/>
          <w:sz w:val="20"/>
        </w:rPr>
      </w:pPr>
      <w:r w:rsidRPr="003A7C3F">
        <w:rPr>
          <w:rFonts w:ascii="Arial" w:hAnsi="Arial" w:cs="Arial"/>
          <w:b/>
          <w:sz w:val="20"/>
        </w:rPr>
        <w:t xml:space="preserve">Proposal </w:t>
      </w:r>
      <w:r>
        <w:rPr>
          <w:rFonts w:ascii="Arial" w:hAnsi="Arial" w:cs="Arial"/>
          <w:b/>
          <w:sz w:val="20"/>
        </w:rPr>
        <w:t>6:</w:t>
      </w:r>
      <w:r w:rsidRPr="003A7C3F">
        <w:rPr>
          <w:rFonts w:ascii="Arial" w:hAnsi="Arial" w:cs="Arial"/>
          <w:b/>
          <w:sz w:val="20"/>
        </w:rPr>
        <w:t xml:space="preserve"> A common agreement on the parameters listed in </w:t>
      </w:r>
      <w:r w:rsidRPr="003A7C3F">
        <w:rPr>
          <w:rFonts w:ascii="Arial" w:hAnsi="Arial" w:cs="Arial"/>
          <w:b/>
          <w:sz w:val="20"/>
        </w:rPr>
        <w:fldChar w:fldCharType="begin"/>
      </w:r>
      <w:r w:rsidRPr="003A7C3F">
        <w:rPr>
          <w:rFonts w:ascii="Arial" w:hAnsi="Arial" w:cs="Arial"/>
          <w:b/>
          <w:sz w:val="20"/>
        </w:rPr>
        <w:instrText xml:space="preserve"> REF _Ref471304401 \h  \* MERGEFORMAT </w:instrText>
      </w:r>
      <w:r w:rsidRPr="003A7C3F">
        <w:rPr>
          <w:rFonts w:ascii="Arial" w:hAnsi="Arial" w:cs="Arial"/>
          <w:b/>
          <w:sz w:val="20"/>
        </w:rPr>
      </w:r>
      <w:r w:rsidRPr="003A7C3F">
        <w:rPr>
          <w:rFonts w:ascii="Arial" w:hAnsi="Arial" w:cs="Arial"/>
          <w:b/>
          <w:sz w:val="20"/>
        </w:rPr>
        <w:fldChar w:fldCharType="separate"/>
      </w:r>
      <w:r w:rsidR="00140E5C" w:rsidRPr="00465AC4">
        <w:rPr>
          <w:rFonts w:ascii="Arial" w:hAnsi="Arial" w:cs="Arial"/>
          <w:b/>
          <w:sz w:val="20"/>
        </w:rPr>
        <w:t>Table 5</w:t>
      </w:r>
      <w:r w:rsidRPr="003A7C3F">
        <w:rPr>
          <w:rFonts w:ascii="Arial" w:hAnsi="Arial" w:cs="Arial"/>
          <w:b/>
          <w:sz w:val="20"/>
        </w:rPr>
        <w:fldChar w:fldCharType="end"/>
      </w:r>
      <w:r w:rsidRPr="003A7C3F">
        <w:rPr>
          <w:rFonts w:ascii="Arial" w:hAnsi="Arial" w:cs="Arial"/>
          <w:b/>
          <w:sz w:val="20"/>
        </w:rPr>
        <w:t xml:space="preserve"> is needed. The actual values can be selected among the data found in TR 45.820 and TR 38.913.</w:t>
      </w:r>
    </w:p>
    <w:p w14:paraId="2B2EFA44" w14:textId="77777777" w:rsidR="009D28F7" w:rsidRPr="00EC72C3" w:rsidRDefault="009D28F7" w:rsidP="009D28F7">
      <w:pPr>
        <w:rPr>
          <w:rFonts w:ascii="Arial" w:hAnsi="Arial" w:cs="Arial"/>
          <w:b/>
          <w:sz w:val="20"/>
        </w:rPr>
      </w:pPr>
      <w:r w:rsidRPr="00EC72C3">
        <w:rPr>
          <w:rFonts w:ascii="Arial" w:hAnsi="Arial" w:cs="Arial"/>
          <w:b/>
          <w:sz w:val="20"/>
        </w:rPr>
        <w:t>Observation</w:t>
      </w:r>
      <w:r>
        <w:rPr>
          <w:rFonts w:ascii="Arial" w:hAnsi="Arial" w:cs="Arial"/>
          <w:b/>
          <w:sz w:val="20"/>
        </w:rPr>
        <w:t>1</w:t>
      </w:r>
      <w:r w:rsidRPr="00EC72C3">
        <w:rPr>
          <w:rFonts w:ascii="Arial" w:hAnsi="Arial" w:cs="Arial"/>
          <w:b/>
          <w:sz w:val="20"/>
        </w:rPr>
        <w:t>: The path loss model may be updated to capture that the mMTC evaluations are intended to be performed in the 700 MHz band.</w:t>
      </w:r>
    </w:p>
    <w:p w14:paraId="54BE5B7E" w14:textId="77201005" w:rsidR="0062504A" w:rsidRPr="003A7C3F" w:rsidRDefault="00185110" w:rsidP="0062504A">
      <w:pPr>
        <w:tabs>
          <w:tab w:val="left" w:pos="5245"/>
        </w:tabs>
        <w:rPr>
          <w:rFonts w:ascii="Arial" w:hAnsi="Arial" w:cs="Arial"/>
          <w:sz w:val="20"/>
          <w:szCs w:val="22"/>
        </w:rPr>
      </w:pPr>
      <w:r w:rsidRPr="003A7C3F">
        <w:rPr>
          <w:rFonts w:ascii="Arial" w:hAnsi="Arial" w:cs="Arial"/>
          <w:sz w:val="20"/>
          <w:szCs w:val="22"/>
        </w:rPr>
        <w:t>To exemplify the proposed</w:t>
      </w:r>
      <w:r w:rsidR="0062504A">
        <w:rPr>
          <w:rFonts w:ascii="Arial" w:hAnsi="Arial" w:cs="Arial"/>
          <w:sz w:val="20"/>
          <w:szCs w:val="22"/>
        </w:rPr>
        <w:t xml:space="preserve"> method we also evaluated NB-IoT and eMTC system capacity</w:t>
      </w:r>
      <w:r w:rsidRPr="003A7C3F">
        <w:rPr>
          <w:rFonts w:ascii="Arial" w:hAnsi="Arial" w:cs="Arial"/>
          <w:sz w:val="20"/>
          <w:szCs w:val="22"/>
        </w:rPr>
        <w:t xml:space="preserve"> using the RRC Resume procedure </w:t>
      </w:r>
      <w:r w:rsidR="004A67C4">
        <w:rPr>
          <w:rFonts w:ascii="Arial" w:hAnsi="Arial" w:cs="Arial"/>
          <w:sz w:val="20"/>
          <w:szCs w:val="22"/>
        </w:rPr>
        <w:t>for the</w:t>
      </w:r>
      <w:r w:rsidRPr="003A7C3F">
        <w:rPr>
          <w:rFonts w:ascii="Arial" w:hAnsi="Arial" w:cs="Arial"/>
          <w:sz w:val="20"/>
          <w:szCs w:val="22"/>
        </w:rPr>
        <w:t xml:space="preserve"> </w:t>
      </w:r>
      <w:r w:rsidR="0062504A">
        <w:rPr>
          <w:rFonts w:ascii="Arial" w:hAnsi="Arial" w:cs="Arial"/>
          <w:sz w:val="20"/>
          <w:szCs w:val="22"/>
        </w:rPr>
        <w:t>inband</w:t>
      </w:r>
      <w:r w:rsidRPr="003A7C3F">
        <w:rPr>
          <w:rFonts w:ascii="Arial" w:hAnsi="Arial" w:cs="Arial"/>
          <w:sz w:val="20"/>
          <w:szCs w:val="22"/>
        </w:rPr>
        <w:t xml:space="preserve"> mode. For simplicity the evaluations was based on parameters agreed in Release 13. </w:t>
      </w:r>
      <w:r w:rsidR="0062504A">
        <w:rPr>
          <w:rFonts w:ascii="Arial" w:hAnsi="Arial" w:cs="Arial"/>
          <w:sz w:val="20"/>
          <w:szCs w:val="22"/>
        </w:rPr>
        <w:t xml:space="preserve">It was </w:t>
      </w:r>
      <w:r w:rsidR="00F433A3">
        <w:rPr>
          <w:rFonts w:ascii="Arial" w:hAnsi="Arial" w:cs="Arial"/>
          <w:sz w:val="20"/>
          <w:szCs w:val="22"/>
        </w:rPr>
        <w:t>shown</w:t>
      </w:r>
      <w:r w:rsidR="0062504A">
        <w:rPr>
          <w:rFonts w:ascii="Arial" w:hAnsi="Arial" w:cs="Arial"/>
          <w:sz w:val="20"/>
          <w:szCs w:val="22"/>
        </w:rPr>
        <w:t xml:space="preserve"> that</w:t>
      </w:r>
      <w:r w:rsidR="00BC2796">
        <w:rPr>
          <w:rFonts w:ascii="Arial" w:hAnsi="Arial" w:cs="Arial"/>
          <w:sz w:val="20"/>
          <w:szCs w:val="22"/>
        </w:rPr>
        <w:t xml:space="preserve"> for these assumptions</w:t>
      </w:r>
      <w:r w:rsidR="0062504A">
        <w:rPr>
          <w:rFonts w:ascii="Arial" w:hAnsi="Arial" w:cs="Arial"/>
          <w:sz w:val="20"/>
          <w:szCs w:val="22"/>
        </w:rPr>
        <w:t xml:space="preserve"> both eMTC and NB-IoT </w:t>
      </w:r>
      <w:r w:rsidR="009C6705">
        <w:rPr>
          <w:rFonts w:ascii="Arial" w:hAnsi="Arial" w:cs="Arial"/>
          <w:sz w:val="20"/>
          <w:szCs w:val="22"/>
        </w:rPr>
        <w:t>has the potential to meet</w:t>
      </w:r>
      <w:r w:rsidR="0062504A">
        <w:rPr>
          <w:rFonts w:ascii="Arial" w:hAnsi="Arial" w:cs="Arial"/>
          <w:sz w:val="20"/>
          <w:szCs w:val="22"/>
        </w:rPr>
        <w:t xml:space="preserve"> the capacity requirement of serving 1000 000 users/km</w:t>
      </w:r>
      <w:r w:rsidR="0062504A" w:rsidRPr="0062504A">
        <w:rPr>
          <w:rFonts w:ascii="Arial" w:hAnsi="Arial" w:cs="Arial"/>
          <w:sz w:val="20"/>
          <w:szCs w:val="22"/>
          <w:vertAlign w:val="superscript"/>
        </w:rPr>
        <w:t>2</w:t>
      </w:r>
      <w:r w:rsidR="0062504A">
        <w:rPr>
          <w:rFonts w:ascii="Arial" w:hAnsi="Arial" w:cs="Arial"/>
          <w:sz w:val="20"/>
          <w:szCs w:val="22"/>
        </w:rPr>
        <w:t xml:space="preserve">. </w:t>
      </w:r>
    </w:p>
    <w:p w14:paraId="4CD3C138" w14:textId="77777777" w:rsidR="001B4C46" w:rsidRPr="00282882" w:rsidRDefault="001B4C46" w:rsidP="001B4C46">
      <w:pPr>
        <w:pStyle w:val="Heading1"/>
      </w:pPr>
      <w:r w:rsidRPr="00282882">
        <w:lastRenderedPageBreak/>
        <w:t>References</w:t>
      </w:r>
    </w:p>
    <w:p w14:paraId="26B26507" w14:textId="562AC78B" w:rsidR="002665F0" w:rsidRPr="00D64DF5" w:rsidRDefault="00D049CA" w:rsidP="001B4C46">
      <w:pPr>
        <w:pStyle w:val="Reference"/>
        <w:rPr>
          <w:rFonts w:ascii="Arial" w:hAnsi="Arial" w:cs="Arial"/>
          <w:sz w:val="20"/>
          <w:szCs w:val="20"/>
        </w:rPr>
      </w:pPr>
      <w:bookmarkStart w:id="18" w:name="_Ref471288572"/>
      <w:bookmarkStart w:id="19" w:name="_Ref456181409"/>
      <w:bookmarkStart w:id="20" w:name="_Ref425332273"/>
      <w:r w:rsidRPr="00D64DF5">
        <w:rPr>
          <w:rFonts w:ascii="Arial" w:hAnsi="Arial" w:cs="Arial"/>
          <w:sz w:val="20"/>
          <w:szCs w:val="20"/>
        </w:rPr>
        <w:t>RP-162560, “Way forward on mMTC in NR Rel-15”, source Ericsson et. al, RAN#74</w:t>
      </w:r>
      <w:bookmarkEnd w:id="18"/>
    </w:p>
    <w:p w14:paraId="72A85C01" w14:textId="2064A89C" w:rsidR="002B7260" w:rsidRPr="00D64DF5" w:rsidRDefault="002B7260" w:rsidP="001B4C46">
      <w:pPr>
        <w:pStyle w:val="Reference"/>
        <w:rPr>
          <w:rFonts w:ascii="Arial" w:hAnsi="Arial" w:cs="Arial"/>
          <w:sz w:val="20"/>
          <w:szCs w:val="20"/>
        </w:rPr>
      </w:pPr>
      <w:bookmarkStart w:id="21" w:name="_Ref471289618"/>
      <w:bookmarkStart w:id="22" w:name="_Ref471304478"/>
      <w:r w:rsidRPr="00D64DF5">
        <w:rPr>
          <w:rFonts w:ascii="Arial" w:hAnsi="Arial" w:cs="Arial"/>
          <w:sz w:val="20"/>
          <w:szCs w:val="20"/>
        </w:rPr>
        <w:t xml:space="preserve">TR </w:t>
      </w:r>
      <w:hyperlink r:id="rId14" w:history="1">
        <w:r w:rsidR="00756142" w:rsidRPr="00D64DF5">
          <w:rPr>
            <w:rStyle w:val="Hyperlink"/>
            <w:rFonts w:ascii="Arial" w:hAnsi="Arial" w:cs="Arial"/>
            <w:sz w:val="20"/>
            <w:szCs w:val="20"/>
          </w:rPr>
          <w:t>38.913</w:t>
        </w:r>
      </w:hyperlink>
      <w:r w:rsidRPr="00D64DF5">
        <w:rPr>
          <w:rFonts w:ascii="Arial" w:hAnsi="Arial" w:cs="Arial"/>
          <w:sz w:val="20"/>
          <w:szCs w:val="20"/>
        </w:rPr>
        <w:t xml:space="preserve"> “</w:t>
      </w:r>
      <w:r w:rsidRPr="00D64DF5">
        <w:rPr>
          <w:rFonts w:ascii="Arial" w:hAnsi="Arial" w:cs="Arial"/>
          <w:sz w:val="20"/>
          <w:szCs w:val="20"/>
          <w:lang w:eastAsia="zh-CN"/>
        </w:rPr>
        <w:t>Study on Scenarios and Requirements for Next Generation Access Technologies</w:t>
      </w:r>
      <w:r w:rsidRPr="00D64DF5">
        <w:rPr>
          <w:rFonts w:ascii="Arial" w:hAnsi="Arial" w:cs="Arial"/>
          <w:sz w:val="20"/>
          <w:szCs w:val="20"/>
        </w:rPr>
        <w:t>”</w:t>
      </w:r>
      <w:bookmarkEnd w:id="19"/>
      <w:bookmarkEnd w:id="21"/>
      <w:r w:rsidRPr="00D64DF5">
        <w:rPr>
          <w:rFonts w:ascii="Arial" w:hAnsi="Arial" w:cs="Arial"/>
          <w:sz w:val="20"/>
          <w:szCs w:val="20"/>
        </w:rPr>
        <w:t xml:space="preserve"> </w:t>
      </w:r>
      <w:r w:rsidR="00B272D2" w:rsidRPr="00D64DF5">
        <w:rPr>
          <w:rFonts w:ascii="Arial" w:hAnsi="Arial" w:cs="Arial"/>
          <w:sz w:val="20"/>
          <w:szCs w:val="20"/>
        </w:rPr>
        <w:t>v14.0.0</w:t>
      </w:r>
      <w:bookmarkEnd w:id="22"/>
    </w:p>
    <w:p w14:paraId="15065405" w14:textId="7EC075DD" w:rsidR="00A77026" w:rsidRPr="00D64DF5" w:rsidRDefault="00A77026" w:rsidP="001B4C46">
      <w:pPr>
        <w:pStyle w:val="Reference"/>
        <w:rPr>
          <w:rFonts w:ascii="Arial" w:hAnsi="Arial" w:cs="Arial"/>
          <w:sz w:val="20"/>
          <w:szCs w:val="20"/>
        </w:rPr>
      </w:pPr>
      <w:bookmarkStart w:id="23" w:name="_Ref463001619"/>
      <w:r w:rsidRPr="00D64DF5">
        <w:rPr>
          <w:rFonts w:ascii="Arial" w:hAnsi="Arial" w:cs="Arial"/>
          <w:sz w:val="20"/>
          <w:szCs w:val="20"/>
        </w:rPr>
        <w:t>TR</w:t>
      </w:r>
      <w:r w:rsidR="00756142" w:rsidRPr="00D64DF5">
        <w:rPr>
          <w:rFonts w:ascii="Arial" w:hAnsi="Arial" w:cs="Arial"/>
          <w:sz w:val="20"/>
          <w:szCs w:val="20"/>
        </w:rPr>
        <w:t xml:space="preserve"> </w:t>
      </w:r>
      <w:hyperlink r:id="rId15" w:history="1">
        <w:r w:rsidR="00756142" w:rsidRPr="00D64DF5">
          <w:rPr>
            <w:rStyle w:val="Hyperlink"/>
            <w:rFonts w:ascii="Arial" w:hAnsi="Arial" w:cs="Arial"/>
            <w:sz w:val="20"/>
            <w:szCs w:val="20"/>
          </w:rPr>
          <w:t>45.820</w:t>
        </w:r>
      </w:hyperlink>
      <w:r w:rsidRPr="00D64DF5">
        <w:rPr>
          <w:rFonts w:ascii="Arial" w:hAnsi="Arial" w:cs="Arial"/>
          <w:sz w:val="20"/>
          <w:szCs w:val="20"/>
        </w:rPr>
        <w:t xml:space="preserve"> </w:t>
      </w:r>
      <w:r w:rsidR="00B46990" w:rsidRPr="00D64DF5">
        <w:rPr>
          <w:rFonts w:ascii="Arial" w:hAnsi="Arial" w:cs="Arial"/>
          <w:sz w:val="20"/>
          <w:szCs w:val="20"/>
        </w:rPr>
        <w:t>“Cellular</w:t>
      </w:r>
      <w:r w:rsidR="00C15647" w:rsidRPr="00D64DF5">
        <w:rPr>
          <w:rFonts w:ascii="Arial" w:hAnsi="Arial" w:cs="Arial"/>
          <w:sz w:val="20"/>
          <w:szCs w:val="20"/>
        </w:rPr>
        <w:t xml:space="preserve"> system support for ultra-low complexity and low throughput Internet of Things”</w:t>
      </w:r>
      <w:r w:rsidR="00B46990" w:rsidRPr="00D64DF5">
        <w:rPr>
          <w:rFonts w:ascii="Arial" w:hAnsi="Arial" w:cs="Arial"/>
          <w:sz w:val="20"/>
          <w:szCs w:val="20"/>
        </w:rPr>
        <w:t xml:space="preserve"> </w:t>
      </w:r>
      <w:r w:rsidRPr="00D64DF5">
        <w:rPr>
          <w:rFonts w:ascii="Arial" w:hAnsi="Arial" w:cs="Arial"/>
          <w:sz w:val="20"/>
          <w:szCs w:val="20"/>
        </w:rPr>
        <w:t>v13.0.0</w:t>
      </w:r>
      <w:bookmarkEnd w:id="23"/>
      <w:r w:rsidR="00866919" w:rsidRPr="00D64DF5">
        <w:rPr>
          <w:rFonts w:ascii="Arial" w:hAnsi="Arial" w:cs="Arial"/>
          <w:sz w:val="20"/>
          <w:szCs w:val="20"/>
        </w:rPr>
        <w:t xml:space="preserve"> </w:t>
      </w:r>
    </w:p>
    <w:p w14:paraId="3570E072" w14:textId="348345D2" w:rsidR="00C62FEA" w:rsidRPr="00D64DF5" w:rsidRDefault="00C62FEA" w:rsidP="001B4C46">
      <w:pPr>
        <w:pStyle w:val="Reference"/>
        <w:rPr>
          <w:rFonts w:ascii="Arial" w:hAnsi="Arial" w:cs="Arial"/>
          <w:sz w:val="20"/>
          <w:szCs w:val="20"/>
        </w:rPr>
      </w:pPr>
      <w:bookmarkStart w:id="24" w:name="_Ref474680403"/>
      <w:r w:rsidRPr="00D64DF5">
        <w:rPr>
          <w:rFonts w:ascii="Arial" w:hAnsi="Arial" w:cs="Arial"/>
          <w:sz w:val="20"/>
          <w:szCs w:val="20"/>
        </w:rPr>
        <w:t>GP-140909, “Traffic models for the Cellular IoT study”, source Ericsson, TSG GERAN#64</w:t>
      </w:r>
      <w:bookmarkEnd w:id="24"/>
    </w:p>
    <w:bookmarkEnd w:id="1"/>
    <w:bookmarkEnd w:id="2"/>
    <w:bookmarkEnd w:id="20"/>
    <w:p w14:paraId="4DC025BA" w14:textId="7D24C04A" w:rsidR="0022592F" w:rsidRDefault="0022592F" w:rsidP="007469B1">
      <w:pPr>
        <w:pStyle w:val="Reference"/>
        <w:numPr>
          <w:ilvl w:val="0"/>
          <w:numId w:val="0"/>
        </w:numPr>
        <w:rPr>
          <w:rFonts w:ascii="Arial" w:hAnsi="Arial" w:cs="Arial"/>
        </w:rPr>
      </w:pPr>
    </w:p>
    <w:sectPr w:rsidR="0022592F" w:rsidSect="00A4095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0D7B5" w14:textId="77777777" w:rsidR="00463125" w:rsidRDefault="00463125">
      <w:r>
        <w:separator/>
      </w:r>
    </w:p>
  </w:endnote>
  <w:endnote w:type="continuationSeparator" w:id="0">
    <w:p w14:paraId="74857A8B" w14:textId="77777777" w:rsidR="00463125" w:rsidRDefault="00463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1096B" w14:textId="77777777" w:rsidR="00EE24A1" w:rsidRDefault="00EE24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89CF8" w14:textId="77777777" w:rsidR="00EE24A1" w:rsidRDefault="00EE24A1" w:rsidP="005F3927">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F2349" w14:textId="77777777" w:rsidR="00EE24A1" w:rsidRDefault="00EE24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76112" w14:textId="77777777" w:rsidR="00463125" w:rsidRDefault="00463125">
      <w:r>
        <w:separator/>
      </w:r>
    </w:p>
  </w:footnote>
  <w:footnote w:type="continuationSeparator" w:id="0">
    <w:p w14:paraId="1712DB33" w14:textId="77777777" w:rsidR="00463125" w:rsidRDefault="00463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EC459" w14:textId="77777777" w:rsidR="00EE24A1" w:rsidRDefault="00EE24A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19522" w14:textId="77777777" w:rsidR="00EE24A1" w:rsidRDefault="00EE2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F4B48" w14:textId="77777777" w:rsidR="00EE24A1" w:rsidRDefault="00EE2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2613D"/>
    <w:multiLevelType w:val="hybridMultilevel"/>
    <w:tmpl w:val="B240BAC2"/>
    <w:lvl w:ilvl="0" w:tplc="B7082E04">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2D11A69"/>
    <w:multiLevelType w:val="hybridMultilevel"/>
    <w:tmpl w:val="14B6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D7C0C"/>
    <w:multiLevelType w:val="hybridMultilevel"/>
    <w:tmpl w:val="4D8C7C62"/>
    <w:lvl w:ilvl="0" w:tplc="5D142C64">
      <w:numFmt w:val="bullet"/>
      <w:lvlText w:val="-"/>
      <w:lvlJc w:val="left"/>
      <w:pPr>
        <w:ind w:left="1080" w:hanging="360"/>
      </w:pPr>
      <w:rPr>
        <w:rFonts w:ascii="Times New Roman" w:eastAsia="SimSun" w:hAnsi="Times New Roman" w:cs="Times New Roman"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15:restartNumberingAfterBreak="0">
    <w:nsid w:val="19521EFA"/>
    <w:multiLevelType w:val="hybridMultilevel"/>
    <w:tmpl w:val="139A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D120F"/>
    <w:multiLevelType w:val="hybridMultilevel"/>
    <w:tmpl w:val="07687212"/>
    <w:lvl w:ilvl="0" w:tplc="B294637A">
      <w:start w:val="1"/>
      <w:numFmt w:val="bullet"/>
      <w:lvlText w:val="•"/>
      <w:lvlJc w:val="left"/>
      <w:pPr>
        <w:tabs>
          <w:tab w:val="num" w:pos="720"/>
        </w:tabs>
        <w:ind w:left="720" w:hanging="360"/>
      </w:pPr>
      <w:rPr>
        <w:rFonts w:ascii="Arial" w:hAnsi="Arial" w:hint="default"/>
      </w:rPr>
    </w:lvl>
    <w:lvl w:ilvl="1" w:tplc="AC3CED1E" w:tentative="1">
      <w:start w:val="1"/>
      <w:numFmt w:val="bullet"/>
      <w:lvlText w:val="•"/>
      <w:lvlJc w:val="left"/>
      <w:pPr>
        <w:tabs>
          <w:tab w:val="num" w:pos="1440"/>
        </w:tabs>
        <w:ind w:left="1440" w:hanging="360"/>
      </w:pPr>
      <w:rPr>
        <w:rFonts w:ascii="Arial" w:hAnsi="Arial" w:hint="default"/>
      </w:rPr>
    </w:lvl>
    <w:lvl w:ilvl="2" w:tplc="4CC6A35E" w:tentative="1">
      <w:start w:val="1"/>
      <w:numFmt w:val="bullet"/>
      <w:lvlText w:val="•"/>
      <w:lvlJc w:val="left"/>
      <w:pPr>
        <w:tabs>
          <w:tab w:val="num" w:pos="2160"/>
        </w:tabs>
        <w:ind w:left="2160" w:hanging="360"/>
      </w:pPr>
      <w:rPr>
        <w:rFonts w:ascii="Arial" w:hAnsi="Arial" w:hint="default"/>
      </w:rPr>
    </w:lvl>
    <w:lvl w:ilvl="3" w:tplc="C068D52C" w:tentative="1">
      <w:start w:val="1"/>
      <w:numFmt w:val="bullet"/>
      <w:lvlText w:val="•"/>
      <w:lvlJc w:val="left"/>
      <w:pPr>
        <w:tabs>
          <w:tab w:val="num" w:pos="2880"/>
        </w:tabs>
        <w:ind w:left="2880" w:hanging="360"/>
      </w:pPr>
      <w:rPr>
        <w:rFonts w:ascii="Arial" w:hAnsi="Arial" w:hint="default"/>
      </w:rPr>
    </w:lvl>
    <w:lvl w:ilvl="4" w:tplc="B52A91BA" w:tentative="1">
      <w:start w:val="1"/>
      <w:numFmt w:val="bullet"/>
      <w:lvlText w:val="•"/>
      <w:lvlJc w:val="left"/>
      <w:pPr>
        <w:tabs>
          <w:tab w:val="num" w:pos="3600"/>
        </w:tabs>
        <w:ind w:left="3600" w:hanging="360"/>
      </w:pPr>
      <w:rPr>
        <w:rFonts w:ascii="Arial" w:hAnsi="Arial" w:hint="default"/>
      </w:rPr>
    </w:lvl>
    <w:lvl w:ilvl="5" w:tplc="095095E0" w:tentative="1">
      <w:start w:val="1"/>
      <w:numFmt w:val="bullet"/>
      <w:lvlText w:val="•"/>
      <w:lvlJc w:val="left"/>
      <w:pPr>
        <w:tabs>
          <w:tab w:val="num" w:pos="4320"/>
        </w:tabs>
        <w:ind w:left="4320" w:hanging="360"/>
      </w:pPr>
      <w:rPr>
        <w:rFonts w:ascii="Arial" w:hAnsi="Arial" w:hint="default"/>
      </w:rPr>
    </w:lvl>
    <w:lvl w:ilvl="6" w:tplc="2B34D1FA" w:tentative="1">
      <w:start w:val="1"/>
      <w:numFmt w:val="bullet"/>
      <w:lvlText w:val="•"/>
      <w:lvlJc w:val="left"/>
      <w:pPr>
        <w:tabs>
          <w:tab w:val="num" w:pos="5040"/>
        </w:tabs>
        <w:ind w:left="5040" w:hanging="360"/>
      </w:pPr>
      <w:rPr>
        <w:rFonts w:ascii="Arial" w:hAnsi="Arial" w:hint="default"/>
      </w:rPr>
    </w:lvl>
    <w:lvl w:ilvl="7" w:tplc="DDFEFBCE" w:tentative="1">
      <w:start w:val="1"/>
      <w:numFmt w:val="bullet"/>
      <w:lvlText w:val="•"/>
      <w:lvlJc w:val="left"/>
      <w:pPr>
        <w:tabs>
          <w:tab w:val="num" w:pos="5760"/>
        </w:tabs>
        <w:ind w:left="5760" w:hanging="360"/>
      </w:pPr>
      <w:rPr>
        <w:rFonts w:ascii="Arial" w:hAnsi="Arial" w:hint="default"/>
      </w:rPr>
    </w:lvl>
    <w:lvl w:ilvl="8" w:tplc="B34855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5F2919"/>
    <w:multiLevelType w:val="hybridMultilevel"/>
    <w:tmpl w:val="C7824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A6265D"/>
    <w:multiLevelType w:val="hybridMultilevel"/>
    <w:tmpl w:val="EF86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15:restartNumberingAfterBreak="0">
    <w:nsid w:val="2191615C"/>
    <w:multiLevelType w:val="hybridMultilevel"/>
    <w:tmpl w:val="8D66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043606"/>
    <w:multiLevelType w:val="hybridMultilevel"/>
    <w:tmpl w:val="A3429CBA"/>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6316E2F"/>
    <w:multiLevelType w:val="hybridMultilevel"/>
    <w:tmpl w:val="FA68F9F2"/>
    <w:lvl w:ilvl="0" w:tplc="FFFFFFFF">
      <w:numFmt w:val="bullet"/>
      <w:lvlText w:val="-"/>
      <w:lvlJc w:val="left"/>
      <w:pPr>
        <w:ind w:left="765" w:hanging="360"/>
      </w:pPr>
      <w:rPr>
        <w:rFonts w:ascii="Calibri" w:eastAsia="SimSun" w:hAnsi="Calibri"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5" w15:restartNumberingAfterBreak="0">
    <w:nsid w:val="29530D4B"/>
    <w:multiLevelType w:val="hybridMultilevel"/>
    <w:tmpl w:val="4246D6CE"/>
    <w:lvl w:ilvl="0" w:tplc="21725EA6">
      <w:start w:val="1"/>
      <w:numFmt w:val="bullet"/>
      <w:lvlText w:val="–"/>
      <w:lvlJc w:val="left"/>
      <w:pPr>
        <w:tabs>
          <w:tab w:val="num" w:pos="720"/>
        </w:tabs>
        <w:ind w:left="720" w:hanging="360"/>
      </w:pPr>
      <w:rPr>
        <w:rFonts w:ascii="Ericsson Capital TT" w:hAnsi="Ericsson Capital TT" w:hint="default"/>
      </w:rPr>
    </w:lvl>
    <w:lvl w:ilvl="1" w:tplc="6988244C">
      <w:start w:val="1"/>
      <w:numFmt w:val="bullet"/>
      <w:lvlText w:val="–"/>
      <w:lvlJc w:val="left"/>
      <w:pPr>
        <w:tabs>
          <w:tab w:val="num" w:pos="1440"/>
        </w:tabs>
        <w:ind w:left="1440" w:hanging="360"/>
      </w:pPr>
      <w:rPr>
        <w:rFonts w:ascii="Ericsson Capital TT" w:hAnsi="Ericsson Capital TT" w:hint="default"/>
      </w:rPr>
    </w:lvl>
    <w:lvl w:ilvl="2" w:tplc="FE92B8E4" w:tentative="1">
      <w:start w:val="1"/>
      <w:numFmt w:val="bullet"/>
      <w:lvlText w:val="–"/>
      <w:lvlJc w:val="left"/>
      <w:pPr>
        <w:tabs>
          <w:tab w:val="num" w:pos="2160"/>
        </w:tabs>
        <w:ind w:left="2160" w:hanging="360"/>
      </w:pPr>
      <w:rPr>
        <w:rFonts w:ascii="Ericsson Capital TT" w:hAnsi="Ericsson Capital TT" w:hint="default"/>
      </w:rPr>
    </w:lvl>
    <w:lvl w:ilvl="3" w:tplc="A23433AC" w:tentative="1">
      <w:start w:val="1"/>
      <w:numFmt w:val="bullet"/>
      <w:lvlText w:val="–"/>
      <w:lvlJc w:val="left"/>
      <w:pPr>
        <w:tabs>
          <w:tab w:val="num" w:pos="2880"/>
        </w:tabs>
        <w:ind w:left="2880" w:hanging="360"/>
      </w:pPr>
      <w:rPr>
        <w:rFonts w:ascii="Ericsson Capital TT" w:hAnsi="Ericsson Capital TT" w:hint="default"/>
      </w:rPr>
    </w:lvl>
    <w:lvl w:ilvl="4" w:tplc="9CFAC3D8" w:tentative="1">
      <w:start w:val="1"/>
      <w:numFmt w:val="bullet"/>
      <w:lvlText w:val="–"/>
      <w:lvlJc w:val="left"/>
      <w:pPr>
        <w:tabs>
          <w:tab w:val="num" w:pos="3600"/>
        </w:tabs>
        <w:ind w:left="3600" w:hanging="360"/>
      </w:pPr>
      <w:rPr>
        <w:rFonts w:ascii="Ericsson Capital TT" w:hAnsi="Ericsson Capital TT" w:hint="default"/>
      </w:rPr>
    </w:lvl>
    <w:lvl w:ilvl="5" w:tplc="B632127E" w:tentative="1">
      <w:start w:val="1"/>
      <w:numFmt w:val="bullet"/>
      <w:lvlText w:val="–"/>
      <w:lvlJc w:val="left"/>
      <w:pPr>
        <w:tabs>
          <w:tab w:val="num" w:pos="4320"/>
        </w:tabs>
        <w:ind w:left="4320" w:hanging="360"/>
      </w:pPr>
      <w:rPr>
        <w:rFonts w:ascii="Ericsson Capital TT" w:hAnsi="Ericsson Capital TT" w:hint="default"/>
      </w:rPr>
    </w:lvl>
    <w:lvl w:ilvl="6" w:tplc="C5387ADC" w:tentative="1">
      <w:start w:val="1"/>
      <w:numFmt w:val="bullet"/>
      <w:lvlText w:val="–"/>
      <w:lvlJc w:val="left"/>
      <w:pPr>
        <w:tabs>
          <w:tab w:val="num" w:pos="5040"/>
        </w:tabs>
        <w:ind w:left="5040" w:hanging="360"/>
      </w:pPr>
      <w:rPr>
        <w:rFonts w:ascii="Ericsson Capital TT" w:hAnsi="Ericsson Capital TT" w:hint="default"/>
      </w:rPr>
    </w:lvl>
    <w:lvl w:ilvl="7" w:tplc="DA0C9212" w:tentative="1">
      <w:start w:val="1"/>
      <w:numFmt w:val="bullet"/>
      <w:lvlText w:val="–"/>
      <w:lvlJc w:val="left"/>
      <w:pPr>
        <w:tabs>
          <w:tab w:val="num" w:pos="5760"/>
        </w:tabs>
        <w:ind w:left="5760" w:hanging="360"/>
      </w:pPr>
      <w:rPr>
        <w:rFonts w:ascii="Ericsson Capital TT" w:hAnsi="Ericsson Capital TT" w:hint="default"/>
      </w:rPr>
    </w:lvl>
    <w:lvl w:ilvl="8" w:tplc="5B34371A" w:tentative="1">
      <w:start w:val="1"/>
      <w:numFmt w:val="bullet"/>
      <w:lvlText w:val="–"/>
      <w:lvlJc w:val="left"/>
      <w:pPr>
        <w:tabs>
          <w:tab w:val="num" w:pos="6480"/>
        </w:tabs>
        <w:ind w:left="6480" w:hanging="360"/>
      </w:pPr>
      <w:rPr>
        <w:rFonts w:ascii="Ericsson Capital TT" w:hAnsi="Ericsson Capital TT" w:hint="default"/>
      </w:rPr>
    </w:lvl>
  </w:abstractNum>
  <w:abstractNum w:abstractNumId="16" w15:restartNumberingAfterBreak="0">
    <w:nsid w:val="2EBD4FB1"/>
    <w:multiLevelType w:val="hybridMultilevel"/>
    <w:tmpl w:val="04047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0768DA"/>
    <w:multiLevelType w:val="hybridMultilevel"/>
    <w:tmpl w:val="74C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67546A"/>
    <w:multiLevelType w:val="hybridMultilevel"/>
    <w:tmpl w:val="3ACE63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8D7460"/>
    <w:multiLevelType w:val="hybridMultilevel"/>
    <w:tmpl w:val="91F4DA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47479B3"/>
    <w:multiLevelType w:val="hybridMultilevel"/>
    <w:tmpl w:val="142C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C36386"/>
    <w:multiLevelType w:val="hybridMultilevel"/>
    <w:tmpl w:val="A7E8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D741E2"/>
    <w:multiLevelType w:val="hybridMultilevel"/>
    <w:tmpl w:val="8A1A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2371C3"/>
    <w:multiLevelType w:val="hybridMultilevel"/>
    <w:tmpl w:val="365E35E4"/>
    <w:lvl w:ilvl="0" w:tplc="DF64B34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680526B"/>
    <w:multiLevelType w:val="hybridMultilevel"/>
    <w:tmpl w:val="4EC8D1F6"/>
    <w:lvl w:ilvl="0" w:tplc="FFFFFFFF">
      <w:numFmt w:val="bullet"/>
      <w:lvlText w:val="-"/>
      <w:lvlJc w:val="left"/>
      <w:pPr>
        <w:ind w:left="765" w:hanging="360"/>
      </w:pPr>
      <w:rPr>
        <w:rFonts w:ascii="Calibri" w:eastAsia="SimSun" w:hAnsi="Calibri"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47611159"/>
    <w:multiLevelType w:val="hybridMultilevel"/>
    <w:tmpl w:val="5C06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6E02EC"/>
    <w:multiLevelType w:val="hybridMultilevel"/>
    <w:tmpl w:val="F4786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AAD131F"/>
    <w:multiLevelType w:val="multilevel"/>
    <w:tmpl w:val="54780432"/>
    <w:lvl w:ilvl="0">
      <w:start w:val="1"/>
      <w:numFmt w:val="decimal"/>
      <w:lvlText w:val="%1"/>
      <w:lvlJc w:val="left"/>
      <w:pPr>
        <w:tabs>
          <w:tab w:val="num" w:pos="2134"/>
        </w:tabs>
        <w:ind w:left="2134"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08F4BFF"/>
    <w:multiLevelType w:val="hybridMultilevel"/>
    <w:tmpl w:val="5A7A8D3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30" w15:restartNumberingAfterBreak="0">
    <w:nsid w:val="50C32227"/>
    <w:multiLevelType w:val="hybridMultilevel"/>
    <w:tmpl w:val="AF7CD1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D84B1D"/>
    <w:multiLevelType w:val="hybridMultilevel"/>
    <w:tmpl w:val="C5109C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041E39"/>
    <w:multiLevelType w:val="hybridMultilevel"/>
    <w:tmpl w:val="FCCE2102"/>
    <w:lvl w:ilvl="0" w:tplc="F79A92D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E01D48"/>
    <w:multiLevelType w:val="hybridMultilevel"/>
    <w:tmpl w:val="041E3CB4"/>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C003B9"/>
    <w:multiLevelType w:val="hybridMultilevel"/>
    <w:tmpl w:val="DFD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EB15D9"/>
    <w:multiLevelType w:val="hybridMultilevel"/>
    <w:tmpl w:val="D3F26AFA"/>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23698E"/>
    <w:multiLevelType w:val="hybridMultilevel"/>
    <w:tmpl w:val="95043F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79320E1"/>
    <w:multiLevelType w:val="hybridMultilevel"/>
    <w:tmpl w:val="225E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895AA6"/>
    <w:multiLevelType w:val="hybridMultilevel"/>
    <w:tmpl w:val="940E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7C05D2"/>
    <w:multiLevelType w:val="hybridMultilevel"/>
    <w:tmpl w:val="BC7C8CC0"/>
    <w:lvl w:ilvl="0" w:tplc="9C807C9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7E5B64"/>
    <w:multiLevelType w:val="hybridMultilevel"/>
    <w:tmpl w:val="B70A75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 w:numId="2">
    <w:abstractNumId w:val="31"/>
  </w:num>
  <w:num w:numId="3">
    <w:abstractNumId w:val="34"/>
  </w:num>
  <w:num w:numId="4">
    <w:abstractNumId w:val="43"/>
  </w:num>
  <w:num w:numId="5">
    <w:abstractNumId w:val="37"/>
  </w:num>
  <w:num w:numId="6">
    <w:abstractNumId w:val="45"/>
  </w:num>
  <w:num w:numId="7">
    <w:abstractNumId w:val="22"/>
  </w:num>
  <w:num w:numId="8">
    <w:abstractNumId w:val="20"/>
  </w:num>
  <w:num w:numId="9">
    <w:abstractNumId w:val="41"/>
  </w:num>
  <w:num w:numId="10">
    <w:abstractNumId w:val="24"/>
  </w:num>
  <w:num w:numId="11">
    <w:abstractNumId w:val="42"/>
  </w:num>
  <w:num w:numId="12">
    <w:abstractNumId w:val="38"/>
  </w:num>
  <w:num w:numId="13">
    <w:abstractNumId w:val="4"/>
  </w:num>
  <w:num w:numId="14">
    <w:abstractNumId w:val="7"/>
  </w:num>
  <w:num w:numId="15">
    <w:abstractNumId w:val="17"/>
  </w:num>
  <w:num w:numId="16">
    <w:abstractNumId w:val="30"/>
  </w:num>
  <w:num w:numId="17">
    <w:abstractNumId w:val="18"/>
  </w:num>
  <w:num w:numId="18">
    <w:abstractNumId w:val="9"/>
  </w:num>
  <w:num w:numId="19">
    <w:abstractNumId w:val="29"/>
  </w:num>
  <w:num w:numId="20">
    <w:abstractNumId w:val="21"/>
  </w:num>
  <w:num w:numId="21">
    <w:abstractNumId w:val="23"/>
  </w:num>
  <w:num w:numId="22">
    <w:abstractNumId w:val="10"/>
  </w:num>
  <w:num w:numId="23">
    <w:abstractNumId w:val="1"/>
  </w:num>
  <w:num w:numId="24">
    <w:abstractNumId w:val="26"/>
  </w:num>
  <w:num w:numId="25">
    <w:abstractNumId w:val="32"/>
  </w:num>
  <w:num w:numId="26">
    <w:abstractNumId w:val="12"/>
  </w:num>
  <w:num w:numId="27">
    <w:abstractNumId w:val="15"/>
  </w:num>
  <w:num w:numId="28">
    <w:abstractNumId w:val="19"/>
  </w:num>
  <w:num w:numId="29">
    <w:abstractNumId w:val="28"/>
  </w:num>
  <w:num w:numId="30">
    <w:abstractNumId w:val="11"/>
  </w:num>
  <w:num w:numId="31">
    <w:abstractNumId w:val="6"/>
  </w:num>
  <w:num w:numId="32">
    <w:abstractNumId w:val="46"/>
  </w:num>
  <w:num w:numId="33">
    <w:abstractNumId w:val="14"/>
  </w:num>
  <w:num w:numId="34">
    <w:abstractNumId w:val="13"/>
  </w:num>
  <w:num w:numId="35">
    <w:abstractNumId w:val="35"/>
  </w:num>
  <w:num w:numId="36">
    <w:abstractNumId w:val="44"/>
  </w:num>
  <w:num w:numId="37">
    <w:abstractNumId w:val="11"/>
  </w:num>
  <w:num w:numId="38">
    <w:abstractNumId w:val="16"/>
  </w:num>
  <w:num w:numId="39">
    <w:abstractNumId w:val="39"/>
  </w:num>
  <w:num w:numId="40">
    <w:abstractNumId w:val="3"/>
  </w:num>
  <w:num w:numId="41">
    <w:abstractNumId w:val="11"/>
  </w:num>
  <w:num w:numId="42">
    <w:abstractNumId w:val="25"/>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27"/>
  </w:num>
  <w:num w:numId="46">
    <w:abstractNumId w:val="5"/>
  </w:num>
  <w:num w:numId="47">
    <w:abstractNumId w:val="33"/>
  </w:num>
  <w:num w:numId="48">
    <w:abstractNumId w:val="2"/>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142"/>
    <w:rsid w:val="00004136"/>
    <w:rsid w:val="000050CC"/>
    <w:rsid w:val="000054D1"/>
    <w:rsid w:val="000100C4"/>
    <w:rsid w:val="00015A19"/>
    <w:rsid w:val="000173A2"/>
    <w:rsid w:val="00017E44"/>
    <w:rsid w:val="00022111"/>
    <w:rsid w:val="00023D1E"/>
    <w:rsid w:val="00023E1D"/>
    <w:rsid w:val="0002405E"/>
    <w:rsid w:val="000254C3"/>
    <w:rsid w:val="00025B78"/>
    <w:rsid w:val="0002680A"/>
    <w:rsid w:val="00026EDA"/>
    <w:rsid w:val="000311D9"/>
    <w:rsid w:val="00031496"/>
    <w:rsid w:val="00031D5C"/>
    <w:rsid w:val="0003279D"/>
    <w:rsid w:val="00033038"/>
    <w:rsid w:val="000335BD"/>
    <w:rsid w:val="000345D4"/>
    <w:rsid w:val="00035109"/>
    <w:rsid w:val="00035598"/>
    <w:rsid w:val="00035A95"/>
    <w:rsid w:val="000406CD"/>
    <w:rsid w:val="00040A52"/>
    <w:rsid w:val="000416CF"/>
    <w:rsid w:val="000420B3"/>
    <w:rsid w:val="000422C9"/>
    <w:rsid w:val="00042947"/>
    <w:rsid w:val="00043AFB"/>
    <w:rsid w:val="00043D07"/>
    <w:rsid w:val="0005105B"/>
    <w:rsid w:val="00052196"/>
    <w:rsid w:val="0005240C"/>
    <w:rsid w:val="0005242B"/>
    <w:rsid w:val="0005343C"/>
    <w:rsid w:val="0005376F"/>
    <w:rsid w:val="0005675C"/>
    <w:rsid w:val="00057E6E"/>
    <w:rsid w:val="00060581"/>
    <w:rsid w:val="00060A0A"/>
    <w:rsid w:val="00060B97"/>
    <w:rsid w:val="00063047"/>
    <w:rsid w:val="00064432"/>
    <w:rsid w:val="000650CD"/>
    <w:rsid w:val="000674EF"/>
    <w:rsid w:val="00072127"/>
    <w:rsid w:val="00072CCA"/>
    <w:rsid w:val="00075BE0"/>
    <w:rsid w:val="00076057"/>
    <w:rsid w:val="00080027"/>
    <w:rsid w:val="00081384"/>
    <w:rsid w:val="0008221E"/>
    <w:rsid w:val="0008227A"/>
    <w:rsid w:val="00082FAB"/>
    <w:rsid w:val="0008336A"/>
    <w:rsid w:val="000843A5"/>
    <w:rsid w:val="00084CEC"/>
    <w:rsid w:val="00084FB4"/>
    <w:rsid w:val="00086587"/>
    <w:rsid w:val="00086F37"/>
    <w:rsid w:val="00087626"/>
    <w:rsid w:val="000902E2"/>
    <w:rsid w:val="0009154F"/>
    <w:rsid w:val="0009158C"/>
    <w:rsid w:val="00094048"/>
    <w:rsid w:val="000948D4"/>
    <w:rsid w:val="00095777"/>
    <w:rsid w:val="00095B16"/>
    <w:rsid w:val="000962EF"/>
    <w:rsid w:val="00096701"/>
    <w:rsid w:val="000A02AB"/>
    <w:rsid w:val="000A06B0"/>
    <w:rsid w:val="000A0C1A"/>
    <w:rsid w:val="000A0E46"/>
    <w:rsid w:val="000A118A"/>
    <w:rsid w:val="000A2611"/>
    <w:rsid w:val="000A2AD4"/>
    <w:rsid w:val="000A4F1B"/>
    <w:rsid w:val="000A752C"/>
    <w:rsid w:val="000B26D2"/>
    <w:rsid w:val="000B2E04"/>
    <w:rsid w:val="000B326B"/>
    <w:rsid w:val="000B38AF"/>
    <w:rsid w:val="000B4583"/>
    <w:rsid w:val="000B68C3"/>
    <w:rsid w:val="000B6F93"/>
    <w:rsid w:val="000B78D9"/>
    <w:rsid w:val="000C0E03"/>
    <w:rsid w:val="000C1447"/>
    <w:rsid w:val="000C2343"/>
    <w:rsid w:val="000C2FFC"/>
    <w:rsid w:val="000C32C8"/>
    <w:rsid w:val="000C4A05"/>
    <w:rsid w:val="000C53B7"/>
    <w:rsid w:val="000C71C0"/>
    <w:rsid w:val="000D04E8"/>
    <w:rsid w:val="000D19DC"/>
    <w:rsid w:val="000D2BF7"/>
    <w:rsid w:val="000D33B5"/>
    <w:rsid w:val="000D390B"/>
    <w:rsid w:val="000D451D"/>
    <w:rsid w:val="000D5524"/>
    <w:rsid w:val="000E1230"/>
    <w:rsid w:val="000E1467"/>
    <w:rsid w:val="000E20F5"/>
    <w:rsid w:val="000E2CB1"/>
    <w:rsid w:val="000E3D28"/>
    <w:rsid w:val="000E65AC"/>
    <w:rsid w:val="000F144F"/>
    <w:rsid w:val="000F1EF6"/>
    <w:rsid w:val="000F3AF1"/>
    <w:rsid w:val="000F60B2"/>
    <w:rsid w:val="000F62CE"/>
    <w:rsid w:val="000F642E"/>
    <w:rsid w:val="000F6443"/>
    <w:rsid w:val="000F706B"/>
    <w:rsid w:val="00100E91"/>
    <w:rsid w:val="0010223A"/>
    <w:rsid w:val="00102332"/>
    <w:rsid w:val="00102A38"/>
    <w:rsid w:val="00103018"/>
    <w:rsid w:val="00103CDD"/>
    <w:rsid w:val="00103D42"/>
    <w:rsid w:val="00104009"/>
    <w:rsid w:val="00104E19"/>
    <w:rsid w:val="001054F7"/>
    <w:rsid w:val="001121D2"/>
    <w:rsid w:val="001139CF"/>
    <w:rsid w:val="00113FE5"/>
    <w:rsid w:val="0011485F"/>
    <w:rsid w:val="00121F0A"/>
    <w:rsid w:val="00122680"/>
    <w:rsid w:val="001238B8"/>
    <w:rsid w:val="00124853"/>
    <w:rsid w:val="00125190"/>
    <w:rsid w:val="001260F6"/>
    <w:rsid w:val="00127701"/>
    <w:rsid w:val="00131926"/>
    <w:rsid w:val="001319AF"/>
    <w:rsid w:val="00131CAC"/>
    <w:rsid w:val="00131F98"/>
    <w:rsid w:val="00132565"/>
    <w:rsid w:val="00133A2E"/>
    <w:rsid w:val="00135D26"/>
    <w:rsid w:val="00140E5C"/>
    <w:rsid w:val="00140EA3"/>
    <w:rsid w:val="00141BF0"/>
    <w:rsid w:val="0014302B"/>
    <w:rsid w:val="00144416"/>
    <w:rsid w:val="00145850"/>
    <w:rsid w:val="00146184"/>
    <w:rsid w:val="00151312"/>
    <w:rsid w:val="001532D7"/>
    <w:rsid w:val="00153BA9"/>
    <w:rsid w:val="00155796"/>
    <w:rsid w:val="0016024D"/>
    <w:rsid w:val="00160FC2"/>
    <w:rsid w:val="00161340"/>
    <w:rsid w:val="001613DB"/>
    <w:rsid w:val="00161EA0"/>
    <w:rsid w:val="00163A68"/>
    <w:rsid w:val="00166D37"/>
    <w:rsid w:val="00167BA2"/>
    <w:rsid w:val="00167CDD"/>
    <w:rsid w:val="001704CC"/>
    <w:rsid w:val="00173849"/>
    <w:rsid w:val="00174942"/>
    <w:rsid w:val="00177E3E"/>
    <w:rsid w:val="001805E5"/>
    <w:rsid w:val="001807D0"/>
    <w:rsid w:val="00182390"/>
    <w:rsid w:val="0018445C"/>
    <w:rsid w:val="001844BE"/>
    <w:rsid w:val="001849C3"/>
    <w:rsid w:val="00185110"/>
    <w:rsid w:val="001860B6"/>
    <w:rsid w:val="001866DD"/>
    <w:rsid w:val="00186839"/>
    <w:rsid w:val="001875B8"/>
    <w:rsid w:val="00190AFE"/>
    <w:rsid w:val="0019129C"/>
    <w:rsid w:val="00193032"/>
    <w:rsid w:val="0019453E"/>
    <w:rsid w:val="00195F4E"/>
    <w:rsid w:val="00196B28"/>
    <w:rsid w:val="00197BB6"/>
    <w:rsid w:val="00197EC1"/>
    <w:rsid w:val="001A01BF"/>
    <w:rsid w:val="001A2AC9"/>
    <w:rsid w:val="001A4E3A"/>
    <w:rsid w:val="001A505C"/>
    <w:rsid w:val="001A578E"/>
    <w:rsid w:val="001A641F"/>
    <w:rsid w:val="001A68BA"/>
    <w:rsid w:val="001A6C9C"/>
    <w:rsid w:val="001B12CB"/>
    <w:rsid w:val="001B182C"/>
    <w:rsid w:val="001B3D2C"/>
    <w:rsid w:val="001B4C46"/>
    <w:rsid w:val="001B6327"/>
    <w:rsid w:val="001B6853"/>
    <w:rsid w:val="001B6A9D"/>
    <w:rsid w:val="001B6B90"/>
    <w:rsid w:val="001B740F"/>
    <w:rsid w:val="001C019F"/>
    <w:rsid w:val="001C0AD4"/>
    <w:rsid w:val="001C1426"/>
    <w:rsid w:val="001C2F12"/>
    <w:rsid w:val="001C461F"/>
    <w:rsid w:val="001C5CE5"/>
    <w:rsid w:val="001D40DD"/>
    <w:rsid w:val="001D439C"/>
    <w:rsid w:val="001D4420"/>
    <w:rsid w:val="001D6428"/>
    <w:rsid w:val="001D6E54"/>
    <w:rsid w:val="001E23AD"/>
    <w:rsid w:val="001E29D0"/>
    <w:rsid w:val="001E2BCB"/>
    <w:rsid w:val="001E2C93"/>
    <w:rsid w:val="001E34AE"/>
    <w:rsid w:val="001E3944"/>
    <w:rsid w:val="001E3A2E"/>
    <w:rsid w:val="001E3EBE"/>
    <w:rsid w:val="001E3FFB"/>
    <w:rsid w:val="001E5234"/>
    <w:rsid w:val="001E5BB4"/>
    <w:rsid w:val="001F0191"/>
    <w:rsid w:val="001F0975"/>
    <w:rsid w:val="001F14D8"/>
    <w:rsid w:val="001F2511"/>
    <w:rsid w:val="001F2699"/>
    <w:rsid w:val="001F37FD"/>
    <w:rsid w:val="001F5400"/>
    <w:rsid w:val="001F5709"/>
    <w:rsid w:val="001F57F3"/>
    <w:rsid w:val="001F5DE8"/>
    <w:rsid w:val="001F5E00"/>
    <w:rsid w:val="001F6CDF"/>
    <w:rsid w:val="001F7FF8"/>
    <w:rsid w:val="00200D31"/>
    <w:rsid w:val="00202150"/>
    <w:rsid w:val="002024F0"/>
    <w:rsid w:val="00203E2B"/>
    <w:rsid w:val="002046E6"/>
    <w:rsid w:val="00205508"/>
    <w:rsid w:val="002055E1"/>
    <w:rsid w:val="002065E3"/>
    <w:rsid w:val="00206817"/>
    <w:rsid w:val="00207590"/>
    <w:rsid w:val="00211F41"/>
    <w:rsid w:val="002131B1"/>
    <w:rsid w:val="00213CB3"/>
    <w:rsid w:val="00214E0B"/>
    <w:rsid w:val="0021559A"/>
    <w:rsid w:val="00216465"/>
    <w:rsid w:val="00216D83"/>
    <w:rsid w:val="00221532"/>
    <w:rsid w:val="00222072"/>
    <w:rsid w:val="002222A4"/>
    <w:rsid w:val="00223ED7"/>
    <w:rsid w:val="00224772"/>
    <w:rsid w:val="0022592F"/>
    <w:rsid w:val="00227A48"/>
    <w:rsid w:val="00230028"/>
    <w:rsid w:val="00230604"/>
    <w:rsid w:val="00230FDD"/>
    <w:rsid w:val="0023122F"/>
    <w:rsid w:val="002318E7"/>
    <w:rsid w:val="00231A5C"/>
    <w:rsid w:val="00231E02"/>
    <w:rsid w:val="00232FBD"/>
    <w:rsid w:val="0023356D"/>
    <w:rsid w:val="002348B1"/>
    <w:rsid w:val="00235E2E"/>
    <w:rsid w:val="002367CC"/>
    <w:rsid w:val="002373B4"/>
    <w:rsid w:val="0023747D"/>
    <w:rsid w:val="00237E20"/>
    <w:rsid w:val="00242604"/>
    <w:rsid w:val="00243B78"/>
    <w:rsid w:val="0024454B"/>
    <w:rsid w:val="00244623"/>
    <w:rsid w:val="00244ADE"/>
    <w:rsid w:val="002472D5"/>
    <w:rsid w:val="0024797B"/>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1554"/>
    <w:rsid w:val="002619ED"/>
    <w:rsid w:val="002633A9"/>
    <w:rsid w:val="002664D7"/>
    <w:rsid w:val="002665F0"/>
    <w:rsid w:val="00270647"/>
    <w:rsid w:val="00272573"/>
    <w:rsid w:val="00272A0C"/>
    <w:rsid w:val="00273972"/>
    <w:rsid w:val="00273F1D"/>
    <w:rsid w:val="0027751B"/>
    <w:rsid w:val="00277DD1"/>
    <w:rsid w:val="00280843"/>
    <w:rsid w:val="00282882"/>
    <w:rsid w:val="00282A60"/>
    <w:rsid w:val="002838F1"/>
    <w:rsid w:val="00284E52"/>
    <w:rsid w:val="00285876"/>
    <w:rsid w:val="00286F08"/>
    <w:rsid w:val="00287C76"/>
    <w:rsid w:val="00290F74"/>
    <w:rsid w:val="002910A4"/>
    <w:rsid w:val="002912DC"/>
    <w:rsid w:val="00293491"/>
    <w:rsid w:val="0029360C"/>
    <w:rsid w:val="0029402D"/>
    <w:rsid w:val="002956A7"/>
    <w:rsid w:val="002977EA"/>
    <w:rsid w:val="002A1174"/>
    <w:rsid w:val="002A18D9"/>
    <w:rsid w:val="002A1F00"/>
    <w:rsid w:val="002A2856"/>
    <w:rsid w:val="002A3017"/>
    <w:rsid w:val="002A301D"/>
    <w:rsid w:val="002A3526"/>
    <w:rsid w:val="002A3B1A"/>
    <w:rsid w:val="002A4789"/>
    <w:rsid w:val="002A68EA"/>
    <w:rsid w:val="002A785F"/>
    <w:rsid w:val="002A7989"/>
    <w:rsid w:val="002B0F0A"/>
    <w:rsid w:val="002B21D4"/>
    <w:rsid w:val="002B35FB"/>
    <w:rsid w:val="002B378D"/>
    <w:rsid w:val="002B4EE8"/>
    <w:rsid w:val="002B5041"/>
    <w:rsid w:val="002B7260"/>
    <w:rsid w:val="002B7D84"/>
    <w:rsid w:val="002C0882"/>
    <w:rsid w:val="002C0C7C"/>
    <w:rsid w:val="002C4083"/>
    <w:rsid w:val="002C428B"/>
    <w:rsid w:val="002C4B72"/>
    <w:rsid w:val="002C5932"/>
    <w:rsid w:val="002C5D4E"/>
    <w:rsid w:val="002C7D07"/>
    <w:rsid w:val="002D15DC"/>
    <w:rsid w:val="002D34AF"/>
    <w:rsid w:val="002D5862"/>
    <w:rsid w:val="002D5960"/>
    <w:rsid w:val="002D7695"/>
    <w:rsid w:val="002E12DC"/>
    <w:rsid w:val="002E1760"/>
    <w:rsid w:val="002E2B4A"/>
    <w:rsid w:val="002E3ED5"/>
    <w:rsid w:val="002E487A"/>
    <w:rsid w:val="002E48DA"/>
    <w:rsid w:val="002E6775"/>
    <w:rsid w:val="002E6F25"/>
    <w:rsid w:val="002E7B6E"/>
    <w:rsid w:val="002F179F"/>
    <w:rsid w:val="002F34EB"/>
    <w:rsid w:val="002F4A9C"/>
    <w:rsid w:val="002F4FA6"/>
    <w:rsid w:val="002F60BC"/>
    <w:rsid w:val="002F6970"/>
    <w:rsid w:val="002F763A"/>
    <w:rsid w:val="002F7D8A"/>
    <w:rsid w:val="002F7F28"/>
    <w:rsid w:val="00300390"/>
    <w:rsid w:val="00300A13"/>
    <w:rsid w:val="00300B8C"/>
    <w:rsid w:val="00300F8A"/>
    <w:rsid w:val="00301B94"/>
    <w:rsid w:val="003020F8"/>
    <w:rsid w:val="00302AC9"/>
    <w:rsid w:val="003035B6"/>
    <w:rsid w:val="00303D52"/>
    <w:rsid w:val="0030426B"/>
    <w:rsid w:val="00310A5A"/>
    <w:rsid w:val="00313C45"/>
    <w:rsid w:val="003154F9"/>
    <w:rsid w:val="00316B2B"/>
    <w:rsid w:val="00316DB4"/>
    <w:rsid w:val="0032109D"/>
    <w:rsid w:val="00321626"/>
    <w:rsid w:val="003216DA"/>
    <w:rsid w:val="00325DD4"/>
    <w:rsid w:val="0032606A"/>
    <w:rsid w:val="0032674B"/>
    <w:rsid w:val="00326817"/>
    <w:rsid w:val="00326ACD"/>
    <w:rsid w:val="003276B1"/>
    <w:rsid w:val="00327D8E"/>
    <w:rsid w:val="00330FBB"/>
    <w:rsid w:val="0033227D"/>
    <w:rsid w:val="00332950"/>
    <w:rsid w:val="0033683D"/>
    <w:rsid w:val="00336F62"/>
    <w:rsid w:val="00337A42"/>
    <w:rsid w:val="0034059C"/>
    <w:rsid w:val="003420DC"/>
    <w:rsid w:val="003447B4"/>
    <w:rsid w:val="0034578F"/>
    <w:rsid w:val="003468F1"/>
    <w:rsid w:val="00350228"/>
    <w:rsid w:val="00350528"/>
    <w:rsid w:val="003516B1"/>
    <w:rsid w:val="00353586"/>
    <w:rsid w:val="00355CE4"/>
    <w:rsid w:val="00356360"/>
    <w:rsid w:val="00357668"/>
    <w:rsid w:val="003607AE"/>
    <w:rsid w:val="00360EAD"/>
    <w:rsid w:val="00362494"/>
    <w:rsid w:val="00363358"/>
    <w:rsid w:val="00364440"/>
    <w:rsid w:val="00365AD7"/>
    <w:rsid w:val="003660C1"/>
    <w:rsid w:val="0036618E"/>
    <w:rsid w:val="003666E8"/>
    <w:rsid w:val="00371145"/>
    <w:rsid w:val="00371150"/>
    <w:rsid w:val="00371D6E"/>
    <w:rsid w:val="00371F87"/>
    <w:rsid w:val="00372EB8"/>
    <w:rsid w:val="0037335F"/>
    <w:rsid w:val="00373ACB"/>
    <w:rsid w:val="00374124"/>
    <w:rsid w:val="00375CFE"/>
    <w:rsid w:val="003775A2"/>
    <w:rsid w:val="00377BAE"/>
    <w:rsid w:val="00382D96"/>
    <w:rsid w:val="003858D1"/>
    <w:rsid w:val="00387A0C"/>
    <w:rsid w:val="00387AE7"/>
    <w:rsid w:val="00390671"/>
    <w:rsid w:val="003906C0"/>
    <w:rsid w:val="00390F6F"/>
    <w:rsid w:val="0039138C"/>
    <w:rsid w:val="003913BC"/>
    <w:rsid w:val="0039330D"/>
    <w:rsid w:val="003949FF"/>
    <w:rsid w:val="00394EF9"/>
    <w:rsid w:val="0039592D"/>
    <w:rsid w:val="0039635F"/>
    <w:rsid w:val="00396E4D"/>
    <w:rsid w:val="00397EBA"/>
    <w:rsid w:val="00397FFB"/>
    <w:rsid w:val="003A0E9F"/>
    <w:rsid w:val="003A229F"/>
    <w:rsid w:val="003A2944"/>
    <w:rsid w:val="003A2B31"/>
    <w:rsid w:val="003A2B5C"/>
    <w:rsid w:val="003A37EA"/>
    <w:rsid w:val="003A4324"/>
    <w:rsid w:val="003A4340"/>
    <w:rsid w:val="003A5799"/>
    <w:rsid w:val="003A6F61"/>
    <w:rsid w:val="003A7C3F"/>
    <w:rsid w:val="003A7E23"/>
    <w:rsid w:val="003B11B4"/>
    <w:rsid w:val="003B25E5"/>
    <w:rsid w:val="003B4681"/>
    <w:rsid w:val="003B4A26"/>
    <w:rsid w:val="003B68B6"/>
    <w:rsid w:val="003B713F"/>
    <w:rsid w:val="003C036F"/>
    <w:rsid w:val="003C0E5F"/>
    <w:rsid w:val="003C2448"/>
    <w:rsid w:val="003C2F90"/>
    <w:rsid w:val="003C33F5"/>
    <w:rsid w:val="003C3F6C"/>
    <w:rsid w:val="003C53A8"/>
    <w:rsid w:val="003C5A79"/>
    <w:rsid w:val="003C7724"/>
    <w:rsid w:val="003D0DEB"/>
    <w:rsid w:val="003D23D7"/>
    <w:rsid w:val="003D30D9"/>
    <w:rsid w:val="003D3FAA"/>
    <w:rsid w:val="003D4E28"/>
    <w:rsid w:val="003D6EA9"/>
    <w:rsid w:val="003E104C"/>
    <w:rsid w:val="003E2130"/>
    <w:rsid w:val="003E220E"/>
    <w:rsid w:val="003E319E"/>
    <w:rsid w:val="003E4C38"/>
    <w:rsid w:val="003E517D"/>
    <w:rsid w:val="003E744B"/>
    <w:rsid w:val="003F05DB"/>
    <w:rsid w:val="003F0607"/>
    <w:rsid w:val="003F2174"/>
    <w:rsid w:val="003F373B"/>
    <w:rsid w:val="003F4D1C"/>
    <w:rsid w:val="0040218B"/>
    <w:rsid w:val="00403288"/>
    <w:rsid w:val="004065AD"/>
    <w:rsid w:val="0041465A"/>
    <w:rsid w:val="0041592E"/>
    <w:rsid w:val="00416660"/>
    <w:rsid w:val="00416EC3"/>
    <w:rsid w:val="004179C8"/>
    <w:rsid w:val="00417DAB"/>
    <w:rsid w:val="00417F6B"/>
    <w:rsid w:val="00420B01"/>
    <w:rsid w:val="00423DC7"/>
    <w:rsid w:val="00426041"/>
    <w:rsid w:val="004260F7"/>
    <w:rsid w:val="00430BE9"/>
    <w:rsid w:val="00431643"/>
    <w:rsid w:val="00433392"/>
    <w:rsid w:val="00433FF0"/>
    <w:rsid w:val="0043422C"/>
    <w:rsid w:val="0043464D"/>
    <w:rsid w:val="00435423"/>
    <w:rsid w:val="00435962"/>
    <w:rsid w:val="0044004D"/>
    <w:rsid w:val="00440887"/>
    <w:rsid w:val="00440BF0"/>
    <w:rsid w:val="004422F4"/>
    <w:rsid w:val="00442D5B"/>
    <w:rsid w:val="00442F9C"/>
    <w:rsid w:val="00444FB1"/>
    <w:rsid w:val="00445EC1"/>
    <w:rsid w:val="00450246"/>
    <w:rsid w:val="00452B22"/>
    <w:rsid w:val="00453903"/>
    <w:rsid w:val="004542F1"/>
    <w:rsid w:val="00454BA3"/>
    <w:rsid w:val="004555BA"/>
    <w:rsid w:val="00456FF3"/>
    <w:rsid w:val="00457D8E"/>
    <w:rsid w:val="004600A3"/>
    <w:rsid w:val="0046014D"/>
    <w:rsid w:val="00461155"/>
    <w:rsid w:val="004617DB"/>
    <w:rsid w:val="004620CB"/>
    <w:rsid w:val="00463066"/>
    <w:rsid w:val="00463125"/>
    <w:rsid w:val="00463478"/>
    <w:rsid w:val="00463866"/>
    <w:rsid w:val="00463C49"/>
    <w:rsid w:val="00463E91"/>
    <w:rsid w:val="00464E7D"/>
    <w:rsid w:val="00465AC4"/>
    <w:rsid w:val="00467124"/>
    <w:rsid w:val="00471421"/>
    <w:rsid w:val="00471895"/>
    <w:rsid w:val="004719A7"/>
    <w:rsid w:val="00471DE7"/>
    <w:rsid w:val="00473E96"/>
    <w:rsid w:val="00473F58"/>
    <w:rsid w:val="00474622"/>
    <w:rsid w:val="00475B6C"/>
    <w:rsid w:val="00476100"/>
    <w:rsid w:val="004764BA"/>
    <w:rsid w:val="00483B01"/>
    <w:rsid w:val="00485B5D"/>
    <w:rsid w:val="00485C52"/>
    <w:rsid w:val="00486890"/>
    <w:rsid w:val="00487443"/>
    <w:rsid w:val="00491E40"/>
    <w:rsid w:val="00493B2E"/>
    <w:rsid w:val="00493C74"/>
    <w:rsid w:val="00493F4A"/>
    <w:rsid w:val="0049434F"/>
    <w:rsid w:val="004950BA"/>
    <w:rsid w:val="004959C8"/>
    <w:rsid w:val="004A18AA"/>
    <w:rsid w:val="004A2AA2"/>
    <w:rsid w:val="004A3255"/>
    <w:rsid w:val="004A4A62"/>
    <w:rsid w:val="004A5EF5"/>
    <w:rsid w:val="004A67C4"/>
    <w:rsid w:val="004A765D"/>
    <w:rsid w:val="004B0E99"/>
    <w:rsid w:val="004B0E9D"/>
    <w:rsid w:val="004B37C6"/>
    <w:rsid w:val="004B3FDA"/>
    <w:rsid w:val="004B565B"/>
    <w:rsid w:val="004B7041"/>
    <w:rsid w:val="004C0857"/>
    <w:rsid w:val="004C207B"/>
    <w:rsid w:val="004C289B"/>
    <w:rsid w:val="004C308E"/>
    <w:rsid w:val="004C3CE9"/>
    <w:rsid w:val="004C516D"/>
    <w:rsid w:val="004C5DD3"/>
    <w:rsid w:val="004C6AE5"/>
    <w:rsid w:val="004C7F18"/>
    <w:rsid w:val="004D0328"/>
    <w:rsid w:val="004D0743"/>
    <w:rsid w:val="004D0A01"/>
    <w:rsid w:val="004D0EFD"/>
    <w:rsid w:val="004D1869"/>
    <w:rsid w:val="004D1D35"/>
    <w:rsid w:val="004D278C"/>
    <w:rsid w:val="004D31CA"/>
    <w:rsid w:val="004D3E76"/>
    <w:rsid w:val="004D4AC5"/>
    <w:rsid w:val="004D5674"/>
    <w:rsid w:val="004D5A85"/>
    <w:rsid w:val="004E0DA7"/>
    <w:rsid w:val="004E2241"/>
    <w:rsid w:val="004E2C2D"/>
    <w:rsid w:val="004E3190"/>
    <w:rsid w:val="004E4715"/>
    <w:rsid w:val="004E5031"/>
    <w:rsid w:val="004E6350"/>
    <w:rsid w:val="004F0C1F"/>
    <w:rsid w:val="004F2493"/>
    <w:rsid w:val="004F2804"/>
    <w:rsid w:val="004F3064"/>
    <w:rsid w:val="004F388C"/>
    <w:rsid w:val="004F4877"/>
    <w:rsid w:val="004F488F"/>
    <w:rsid w:val="004F54AF"/>
    <w:rsid w:val="004F7F5C"/>
    <w:rsid w:val="0050039C"/>
    <w:rsid w:val="00501A77"/>
    <w:rsid w:val="00502129"/>
    <w:rsid w:val="005030F5"/>
    <w:rsid w:val="005034E7"/>
    <w:rsid w:val="005046CC"/>
    <w:rsid w:val="0050481E"/>
    <w:rsid w:val="00505BE9"/>
    <w:rsid w:val="00506FCB"/>
    <w:rsid w:val="005106DB"/>
    <w:rsid w:val="00511F22"/>
    <w:rsid w:val="00512C57"/>
    <w:rsid w:val="005157B7"/>
    <w:rsid w:val="00515EF7"/>
    <w:rsid w:val="00515EFD"/>
    <w:rsid w:val="0051669B"/>
    <w:rsid w:val="00516B95"/>
    <w:rsid w:val="00517656"/>
    <w:rsid w:val="005177F4"/>
    <w:rsid w:val="00517EED"/>
    <w:rsid w:val="00517F9E"/>
    <w:rsid w:val="005218B2"/>
    <w:rsid w:val="005230CD"/>
    <w:rsid w:val="0052420E"/>
    <w:rsid w:val="00524FF3"/>
    <w:rsid w:val="00527399"/>
    <w:rsid w:val="005276D8"/>
    <w:rsid w:val="00534BFB"/>
    <w:rsid w:val="00536649"/>
    <w:rsid w:val="005367A8"/>
    <w:rsid w:val="00536997"/>
    <w:rsid w:val="005409F3"/>
    <w:rsid w:val="00541E48"/>
    <w:rsid w:val="00542B9A"/>
    <w:rsid w:val="0054440F"/>
    <w:rsid w:val="0054541A"/>
    <w:rsid w:val="00545E26"/>
    <w:rsid w:val="00545E2F"/>
    <w:rsid w:val="00546845"/>
    <w:rsid w:val="00546979"/>
    <w:rsid w:val="005475EE"/>
    <w:rsid w:val="00547642"/>
    <w:rsid w:val="00547B1F"/>
    <w:rsid w:val="00547C15"/>
    <w:rsid w:val="00550248"/>
    <w:rsid w:val="0055050C"/>
    <w:rsid w:val="00550879"/>
    <w:rsid w:val="005512D5"/>
    <w:rsid w:val="0055569C"/>
    <w:rsid w:val="00555885"/>
    <w:rsid w:val="0055767E"/>
    <w:rsid w:val="00557E80"/>
    <w:rsid w:val="005600E5"/>
    <w:rsid w:val="0056047C"/>
    <w:rsid w:val="0056275E"/>
    <w:rsid w:val="00562A5B"/>
    <w:rsid w:val="00563146"/>
    <w:rsid w:val="0056349B"/>
    <w:rsid w:val="00563AD9"/>
    <w:rsid w:val="005649D5"/>
    <w:rsid w:val="00564C06"/>
    <w:rsid w:val="00566AD3"/>
    <w:rsid w:val="00567E44"/>
    <w:rsid w:val="00567EB0"/>
    <w:rsid w:val="005705E1"/>
    <w:rsid w:val="00570AE9"/>
    <w:rsid w:val="00570FD1"/>
    <w:rsid w:val="0057230B"/>
    <w:rsid w:val="00572655"/>
    <w:rsid w:val="00573CD3"/>
    <w:rsid w:val="00573DB7"/>
    <w:rsid w:val="00573DF1"/>
    <w:rsid w:val="00573E75"/>
    <w:rsid w:val="00574814"/>
    <w:rsid w:val="00575FEF"/>
    <w:rsid w:val="005764D3"/>
    <w:rsid w:val="00576AB8"/>
    <w:rsid w:val="00583840"/>
    <w:rsid w:val="00584196"/>
    <w:rsid w:val="0058515E"/>
    <w:rsid w:val="00585EA4"/>
    <w:rsid w:val="00586B26"/>
    <w:rsid w:val="005907EA"/>
    <w:rsid w:val="00591123"/>
    <w:rsid w:val="00593F05"/>
    <w:rsid w:val="00594A73"/>
    <w:rsid w:val="00594ED5"/>
    <w:rsid w:val="005A08D7"/>
    <w:rsid w:val="005A20B2"/>
    <w:rsid w:val="005A2637"/>
    <w:rsid w:val="005A27C9"/>
    <w:rsid w:val="005A2B85"/>
    <w:rsid w:val="005A2E5A"/>
    <w:rsid w:val="005A3926"/>
    <w:rsid w:val="005A3D62"/>
    <w:rsid w:val="005A3FBC"/>
    <w:rsid w:val="005A447B"/>
    <w:rsid w:val="005A4501"/>
    <w:rsid w:val="005A7D6E"/>
    <w:rsid w:val="005B052A"/>
    <w:rsid w:val="005B16E7"/>
    <w:rsid w:val="005B4427"/>
    <w:rsid w:val="005B4F8B"/>
    <w:rsid w:val="005B603D"/>
    <w:rsid w:val="005B6E13"/>
    <w:rsid w:val="005B7EFA"/>
    <w:rsid w:val="005C27E4"/>
    <w:rsid w:val="005C37B0"/>
    <w:rsid w:val="005C5772"/>
    <w:rsid w:val="005C5898"/>
    <w:rsid w:val="005C616D"/>
    <w:rsid w:val="005C6342"/>
    <w:rsid w:val="005C6C59"/>
    <w:rsid w:val="005C7866"/>
    <w:rsid w:val="005D25A9"/>
    <w:rsid w:val="005D564B"/>
    <w:rsid w:val="005D590A"/>
    <w:rsid w:val="005D6022"/>
    <w:rsid w:val="005D7804"/>
    <w:rsid w:val="005D78BF"/>
    <w:rsid w:val="005E0017"/>
    <w:rsid w:val="005E0115"/>
    <w:rsid w:val="005E1875"/>
    <w:rsid w:val="005E1C94"/>
    <w:rsid w:val="005E1DC5"/>
    <w:rsid w:val="005E1FE9"/>
    <w:rsid w:val="005E28E7"/>
    <w:rsid w:val="005E2987"/>
    <w:rsid w:val="005E2BA0"/>
    <w:rsid w:val="005E3AB8"/>
    <w:rsid w:val="005E495F"/>
    <w:rsid w:val="005E57EA"/>
    <w:rsid w:val="005E5F62"/>
    <w:rsid w:val="005E71D1"/>
    <w:rsid w:val="005E720A"/>
    <w:rsid w:val="005E771E"/>
    <w:rsid w:val="005F261B"/>
    <w:rsid w:val="005F2F55"/>
    <w:rsid w:val="005F30F6"/>
    <w:rsid w:val="005F31C6"/>
    <w:rsid w:val="005F3927"/>
    <w:rsid w:val="005F5A31"/>
    <w:rsid w:val="005F61CA"/>
    <w:rsid w:val="005F78F1"/>
    <w:rsid w:val="006001B0"/>
    <w:rsid w:val="006005CC"/>
    <w:rsid w:val="00602C39"/>
    <w:rsid w:val="00602E9A"/>
    <w:rsid w:val="00602FB6"/>
    <w:rsid w:val="00603CB1"/>
    <w:rsid w:val="00604060"/>
    <w:rsid w:val="0060490F"/>
    <w:rsid w:val="00605974"/>
    <w:rsid w:val="00605AFD"/>
    <w:rsid w:val="00607AFF"/>
    <w:rsid w:val="00607FD3"/>
    <w:rsid w:val="0061073A"/>
    <w:rsid w:val="00610D81"/>
    <w:rsid w:val="00610EDA"/>
    <w:rsid w:val="006122F7"/>
    <w:rsid w:val="0061263B"/>
    <w:rsid w:val="00612A9C"/>
    <w:rsid w:val="006140CD"/>
    <w:rsid w:val="0061487F"/>
    <w:rsid w:val="00614CC2"/>
    <w:rsid w:val="006160CA"/>
    <w:rsid w:val="006166B3"/>
    <w:rsid w:val="00616889"/>
    <w:rsid w:val="0061696F"/>
    <w:rsid w:val="0062128F"/>
    <w:rsid w:val="00621407"/>
    <w:rsid w:val="00622229"/>
    <w:rsid w:val="0062504A"/>
    <w:rsid w:val="00625265"/>
    <w:rsid w:val="0062616E"/>
    <w:rsid w:val="00626906"/>
    <w:rsid w:val="00630573"/>
    <w:rsid w:val="00631D63"/>
    <w:rsid w:val="006326ED"/>
    <w:rsid w:val="00632FFE"/>
    <w:rsid w:val="00633D8B"/>
    <w:rsid w:val="0063614C"/>
    <w:rsid w:val="006366A1"/>
    <w:rsid w:val="0063691D"/>
    <w:rsid w:val="00642285"/>
    <w:rsid w:val="0064291E"/>
    <w:rsid w:val="006437BC"/>
    <w:rsid w:val="00643F0A"/>
    <w:rsid w:val="0064487B"/>
    <w:rsid w:val="0064494F"/>
    <w:rsid w:val="00644DA1"/>
    <w:rsid w:val="00644E36"/>
    <w:rsid w:val="00646BBF"/>
    <w:rsid w:val="00647099"/>
    <w:rsid w:val="006526A5"/>
    <w:rsid w:val="006530E2"/>
    <w:rsid w:val="00655F24"/>
    <w:rsid w:val="00656CA4"/>
    <w:rsid w:val="00656D75"/>
    <w:rsid w:val="006572BB"/>
    <w:rsid w:val="006577A2"/>
    <w:rsid w:val="00660070"/>
    <w:rsid w:val="006603B7"/>
    <w:rsid w:val="00660AA3"/>
    <w:rsid w:val="00660E9A"/>
    <w:rsid w:val="0066327B"/>
    <w:rsid w:val="0066427E"/>
    <w:rsid w:val="00664F05"/>
    <w:rsid w:val="0066526E"/>
    <w:rsid w:val="00665C7F"/>
    <w:rsid w:val="0067124D"/>
    <w:rsid w:val="00672CBE"/>
    <w:rsid w:val="006768E9"/>
    <w:rsid w:val="00677123"/>
    <w:rsid w:val="00677DE7"/>
    <w:rsid w:val="00681F5C"/>
    <w:rsid w:val="00682FBE"/>
    <w:rsid w:val="00683167"/>
    <w:rsid w:val="0068329A"/>
    <w:rsid w:val="006856F5"/>
    <w:rsid w:val="006859F2"/>
    <w:rsid w:val="00686387"/>
    <w:rsid w:val="00687E1C"/>
    <w:rsid w:val="0069028F"/>
    <w:rsid w:val="00690317"/>
    <w:rsid w:val="00690F1C"/>
    <w:rsid w:val="00691A1B"/>
    <w:rsid w:val="006923ED"/>
    <w:rsid w:val="0069353C"/>
    <w:rsid w:val="00693E44"/>
    <w:rsid w:val="006943DF"/>
    <w:rsid w:val="006950A4"/>
    <w:rsid w:val="00695AF3"/>
    <w:rsid w:val="00696430"/>
    <w:rsid w:val="0069741D"/>
    <w:rsid w:val="006A0877"/>
    <w:rsid w:val="006A0999"/>
    <w:rsid w:val="006A1368"/>
    <w:rsid w:val="006A3F66"/>
    <w:rsid w:val="006B0901"/>
    <w:rsid w:val="006B0F15"/>
    <w:rsid w:val="006B133C"/>
    <w:rsid w:val="006B1BC4"/>
    <w:rsid w:val="006B214D"/>
    <w:rsid w:val="006B3C35"/>
    <w:rsid w:val="006B3E21"/>
    <w:rsid w:val="006B40F1"/>
    <w:rsid w:val="006B4A0A"/>
    <w:rsid w:val="006B505D"/>
    <w:rsid w:val="006B57BD"/>
    <w:rsid w:val="006B6499"/>
    <w:rsid w:val="006B6A7A"/>
    <w:rsid w:val="006C1643"/>
    <w:rsid w:val="006C1794"/>
    <w:rsid w:val="006C17E3"/>
    <w:rsid w:val="006C4DE2"/>
    <w:rsid w:val="006C602A"/>
    <w:rsid w:val="006C6A1A"/>
    <w:rsid w:val="006C6E9B"/>
    <w:rsid w:val="006C716E"/>
    <w:rsid w:val="006D1C66"/>
    <w:rsid w:val="006D29F7"/>
    <w:rsid w:val="006D2F71"/>
    <w:rsid w:val="006D519B"/>
    <w:rsid w:val="006D5669"/>
    <w:rsid w:val="006D5E53"/>
    <w:rsid w:val="006D663E"/>
    <w:rsid w:val="006D6727"/>
    <w:rsid w:val="006D7369"/>
    <w:rsid w:val="006D757F"/>
    <w:rsid w:val="006D7962"/>
    <w:rsid w:val="006D7DA6"/>
    <w:rsid w:val="006E55E8"/>
    <w:rsid w:val="006E5C25"/>
    <w:rsid w:val="006E6105"/>
    <w:rsid w:val="006F1A4C"/>
    <w:rsid w:val="006F5AC1"/>
    <w:rsid w:val="006F66F8"/>
    <w:rsid w:val="007021F4"/>
    <w:rsid w:val="00703C3A"/>
    <w:rsid w:val="007054D1"/>
    <w:rsid w:val="0071143D"/>
    <w:rsid w:val="0071156D"/>
    <w:rsid w:val="0071292E"/>
    <w:rsid w:val="00713D22"/>
    <w:rsid w:val="0071403C"/>
    <w:rsid w:val="007146CA"/>
    <w:rsid w:val="00714E42"/>
    <w:rsid w:val="00715875"/>
    <w:rsid w:val="007162B6"/>
    <w:rsid w:val="00717B32"/>
    <w:rsid w:val="00717F33"/>
    <w:rsid w:val="00721D2E"/>
    <w:rsid w:val="00721F9D"/>
    <w:rsid w:val="00722CC0"/>
    <w:rsid w:val="00723294"/>
    <w:rsid w:val="00725198"/>
    <w:rsid w:val="0072579C"/>
    <w:rsid w:val="0072683E"/>
    <w:rsid w:val="00732578"/>
    <w:rsid w:val="007326BB"/>
    <w:rsid w:val="00732B75"/>
    <w:rsid w:val="00733A65"/>
    <w:rsid w:val="0073693E"/>
    <w:rsid w:val="0073779D"/>
    <w:rsid w:val="00743C64"/>
    <w:rsid w:val="00746405"/>
    <w:rsid w:val="007469B1"/>
    <w:rsid w:val="00747AD2"/>
    <w:rsid w:val="00750087"/>
    <w:rsid w:val="007500D8"/>
    <w:rsid w:val="0075019A"/>
    <w:rsid w:val="00752956"/>
    <w:rsid w:val="00752F8E"/>
    <w:rsid w:val="00755077"/>
    <w:rsid w:val="00756142"/>
    <w:rsid w:val="00756F09"/>
    <w:rsid w:val="00756F7F"/>
    <w:rsid w:val="0075782D"/>
    <w:rsid w:val="00760F3A"/>
    <w:rsid w:val="00761088"/>
    <w:rsid w:val="007629A6"/>
    <w:rsid w:val="0076318C"/>
    <w:rsid w:val="0076605F"/>
    <w:rsid w:val="007667F7"/>
    <w:rsid w:val="007669D3"/>
    <w:rsid w:val="00767E12"/>
    <w:rsid w:val="0077026C"/>
    <w:rsid w:val="00770ABA"/>
    <w:rsid w:val="00770D09"/>
    <w:rsid w:val="00771576"/>
    <w:rsid w:val="00771EDC"/>
    <w:rsid w:val="00772A3D"/>
    <w:rsid w:val="0077361B"/>
    <w:rsid w:val="00773FFC"/>
    <w:rsid w:val="00774CD1"/>
    <w:rsid w:val="0077595B"/>
    <w:rsid w:val="007770BE"/>
    <w:rsid w:val="00783380"/>
    <w:rsid w:val="0078412E"/>
    <w:rsid w:val="007842CB"/>
    <w:rsid w:val="00784322"/>
    <w:rsid w:val="007849DB"/>
    <w:rsid w:val="007866D1"/>
    <w:rsid w:val="00790F39"/>
    <w:rsid w:val="00791ABC"/>
    <w:rsid w:val="00792F1D"/>
    <w:rsid w:val="00793C26"/>
    <w:rsid w:val="007940BF"/>
    <w:rsid w:val="007950A6"/>
    <w:rsid w:val="00795EE3"/>
    <w:rsid w:val="007A05FD"/>
    <w:rsid w:val="007A1033"/>
    <w:rsid w:val="007A1074"/>
    <w:rsid w:val="007A164C"/>
    <w:rsid w:val="007A2D6A"/>
    <w:rsid w:val="007A3692"/>
    <w:rsid w:val="007A3AC8"/>
    <w:rsid w:val="007A4DCF"/>
    <w:rsid w:val="007A5A52"/>
    <w:rsid w:val="007A5E21"/>
    <w:rsid w:val="007A60BB"/>
    <w:rsid w:val="007A6D6B"/>
    <w:rsid w:val="007B00D3"/>
    <w:rsid w:val="007B0BC2"/>
    <w:rsid w:val="007B25EA"/>
    <w:rsid w:val="007B352A"/>
    <w:rsid w:val="007B4FE7"/>
    <w:rsid w:val="007B5268"/>
    <w:rsid w:val="007C0D5A"/>
    <w:rsid w:val="007C1603"/>
    <w:rsid w:val="007C38C7"/>
    <w:rsid w:val="007C4DC1"/>
    <w:rsid w:val="007C577F"/>
    <w:rsid w:val="007C58C4"/>
    <w:rsid w:val="007C6E80"/>
    <w:rsid w:val="007C7675"/>
    <w:rsid w:val="007C7E6D"/>
    <w:rsid w:val="007D1E8F"/>
    <w:rsid w:val="007D2274"/>
    <w:rsid w:val="007D241F"/>
    <w:rsid w:val="007D368A"/>
    <w:rsid w:val="007D5A90"/>
    <w:rsid w:val="007D728A"/>
    <w:rsid w:val="007E0C4E"/>
    <w:rsid w:val="007E10A2"/>
    <w:rsid w:val="007E16A5"/>
    <w:rsid w:val="007E3888"/>
    <w:rsid w:val="007E577E"/>
    <w:rsid w:val="007E5AE3"/>
    <w:rsid w:val="007E618D"/>
    <w:rsid w:val="007E788B"/>
    <w:rsid w:val="007F0599"/>
    <w:rsid w:val="007F1207"/>
    <w:rsid w:val="007F2F54"/>
    <w:rsid w:val="007F3DA6"/>
    <w:rsid w:val="007F4185"/>
    <w:rsid w:val="007F4B88"/>
    <w:rsid w:val="007F74B3"/>
    <w:rsid w:val="007F7ACD"/>
    <w:rsid w:val="00801338"/>
    <w:rsid w:val="00802085"/>
    <w:rsid w:val="008037AD"/>
    <w:rsid w:val="0080392F"/>
    <w:rsid w:val="00803BF5"/>
    <w:rsid w:val="00804037"/>
    <w:rsid w:val="00805DCF"/>
    <w:rsid w:val="00806071"/>
    <w:rsid w:val="008075E0"/>
    <w:rsid w:val="0081261A"/>
    <w:rsid w:val="00813B2A"/>
    <w:rsid w:val="0081426E"/>
    <w:rsid w:val="00814BED"/>
    <w:rsid w:val="008151A4"/>
    <w:rsid w:val="008163CB"/>
    <w:rsid w:val="00821ACA"/>
    <w:rsid w:val="008225DA"/>
    <w:rsid w:val="00822CF0"/>
    <w:rsid w:val="00822F0F"/>
    <w:rsid w:val="00824298"/>
    <w:rsid w:val="00824C18"/>
    <w:rsid w:val="008261E6"/>
    <w:rsid w:val="0082630C"/>
    <w:rsid w:val="008309C1"/>
    <w:rsid w:val="008311E8"/>
    <w:rsid w:val="0083155B"/>
    <w:rsid w:val="0083238E"/>
    <w:rsid w:val="008323E7"/>
    <w:rsid w:val="0083249B"/>
    <w:rsid w:val="00832C20"/>
    <w:rsid w:val="00833DDE"/>
    <w:rsid w:val="008349DB"/>
    <w:rsid w:val="00835177"/>
    <w:rsid w:val="00837566"/>
    <w:rsid w:val="00840706"/>
    <w:rsid w:val="00842197"/>
    <w:rsid w:val="00842551"/>
    <w:rsid w:val="0084290D"/>
    <w:rsid w:val="00843935"/>
    <w:rsid w:val="00843FE0"/>
    <w:rsid w:val="008441CA"/>
    <w:rsid w:val="00844F8A"/>
    <w:rsid w:val="008528AD"/>
    <w:rsid w:val="00852DB4"/>
    <w:rsid w:val="00853011"/>
    <w:rsid w:val="0085536A"/>
    <w:rsid w:val="00855BCC"/>
    <w:rsid w:val="00857903"/>
    <w:rsid w:val="0086090E"/>
    <w:rsid w:val="0086095E"/>
    <w:rsid w:val="00860BA1"/>
    <w:rsid w:val="0086417C"/>
    <w:rsid w:val="00865020"/>
    <w:rsid w:val="008658B0"/>
    <w:rsid w:val="00866651"/>
    <w:rsid w:val="00866919"/>
    <w:rsid w:val="008675D6"/>
    <w:rsid w:val="0086770F"/>
    <w:rsid w:val="008710C1"/>
    <w:rsid w:val="0087199E"/>
    <w:rsid w:val="00874446"/>
    <w:rsid w:val="00874513"/>
    <w:rsid w:val="00874860"/>
    <w:rsid w:val="00874B4A"/>
    <w:rsid w:val="00875700"/>
    <w:rsid w:val="0087659A"/>
    <w:rsid w:val="0087789D"/>
    <w:rsid w:val="0087790D"/>
    <w:rsid w:val="00877E71"/>
    <w:rsid w:val="008809C8"/>
    <w:rsid w:val="008812FE"/>
    <w:rsid w:val="00883246"/>
    <w:rsid w:val="00883689"/>
    <w:rsid w:val="00883AA9"/>
    <w:rsid w:val="00883B1E"/>
    <w:rsid w:val="0088592C"/>
    <w:rsid w:val="008873DD"/>
    <w:rsid w:val="00887B89"/>
    <w:rsid w:val="0089012E"/>
    <w:rsid w:val="00891906"/>
    <w:rsid w:val="00891A92"/>
    <w:rsid w:val="00891E4D"/>
    <w:rsid w:val="00895AF3"/>
    <w:rsid w:val="00897751"/>
    <w:rsid w:val="008A06D6"/>
    <w:rsid w:val="008A083F"/>
    <w:rsid w:val="008A2D83"/>
    <w:rsid w:val="008A3940"/>
    <w:rsid w:val="008A43A0"/>
    <w:rsid w:val="008A45ED"/>
    <w:rsid w:val="008A7CED"/>
    <w:rsid w:val="008B04FE"/>
    <w:rsid w:val="008B132D"/>
    <w:rsid w:val="008B342F"/>
    <w:rsid w:val="008B6D68"/>
    <w:rsid w:val="008B6E4C"/>
    <w:rsid w:val="008B7ADD"/>
    <w:rsid w:val="008C0B7B"/>
    <w:rsid w:val="008C2437"/>
    <w:rsid w:val="008C2B6A"/>
    <w:rsid w:val="008C2C2C"/>
    <w:rsid w:val="008C32B8"/>
    <w:rsid w:val="008C622C"/>
    <w:rsid w:val="008C7676"/>
    <w:rsid w:val="008D07F7"/>
    <w:rsid w:val="008D090E"/>
    <w:rsid w:val="008D24F2"/>
    <w:rsid w:val="008D2689"/>
    <w:rsid w:val="008D394C"/>
    <w:rsid w:val="008D3F5F"/>
    <w:rsid w:val="008D43D1"/>
    <w:rsid w:val="008D6317"/>
    <w:rsid w:val="008D6982"/>
    <w:rsid w:val="008D7549"/>
    <w:rsid w:val="008D7B13"/>
    <w:rsid w:val="008D7BBF"/>
    <w:rsid w:val="008E03AC"/>
    <w:rsid w:val="008E7A58"/>
    <w:rsid w:val="008F1079"/>
    <w:rsid w:val="008F25F8"/>
    <w:rsid w:val="008F2BF8"/>
    <w:rsid w:val="008F4349"/>
    <w:rsid w:val="008F6109"/>
    <w:rsid w:val="008F62DC"/>
    <w:rsid w:val="008F6F03"/>
    <w:rsid w:val="008F7550"/>
    <w:rsid w:val="0090250F"/>
    <w:rsid w:val="00904D66"/>
    <w:rsid w:val="00905EB6"/>
    <w:rsid w:val="00906473"/>
    <w:rsid w:val="0090717B"/>
    <w:rsid w:val="00910CAF"/>
    <w:rsid w:val="0091122A"/>
    <w:rsid w:val="00911608"/>
    <w:rsid w:val="00913067"/>
    <w:rsid w:val="00913905"/>
    <w:rsid w:val="00913C73"/>
    <w:rsid w:val="00914396"/>
    <w:rsid w:val="00915CF3"/>
    <w:rsid w:val="0091672B"/>
    <w:rsid w:val="00916829"/>
    <w:rsid w:val="0091781F"/>
    <w:rsid w:val="00917ED6"/>
    <w:rsid w:val="00920358"/>
    <w:rsid w:val="00920A0E"/>
    <w:rsid w:val="00922076"/>
    <w:rsid w:val="00923CA4"/>
    <w:rsid w:val="00924A1B"/>
    <w:rsid w:val="00927B1B"/>
    <w:rsid w:val="00927C8B"/>
    <w:rsid w:val="009302C2"/>
    <w:rsid w:val="0093103F"/>
    <w:rsid w:val="0093123B"/>
    <w:rsid w:val="00933164"/>
    <w:rsid w:val="00933C37"/>
    <w:rsid w:val="0093477D"/>
    <w:rsid w:val="00934C02"/>
    <w:rsid w:val="00942674"/>
    <w:rsid w:val="009434C5"/>
    <w:rsid w:val="0094632A"/>
    <w:rsid w:val="00947187"/>
    <w:rsid w:val="0094743B"/>
    <w:rsid w:val="00947D45"/>
    <w:rsid w:val="009504B8"/>
    <w:rsid w:val="00951222"/>
    <w:rsid w:val="00951365"/>
    <w:rsid w:val="00951625"/>
    <w:rsid w:val="00951A4B"/>
    <w:rsid w:val="009549F7"/>
    <w:rsid w:val="00954E54"/>
    <w:rsid w:val="00956A13"/>
    <w:rsid w:val="00957989"/>
    <w:rsid w:val="00957C5B"/>
    <w:rsid w:val="00957FA4"/>
    <w:rsid w:val="00962B63"/>
    <w:rsid w:val="00962D3B"/>
    <w:rsid w:val="0096358B"/>
    <w:rsid w:val="0096386D"/>
    <w:rsid w:val="009652FA"/>
    <w:rsid w:val="00965A93"/>
    <w:rsid w:val="00967512"/>
    <w:rsid w:val="00970BA7"/>
    <w:rsid w:val="0097173A"/>
    <w:rsid w:val="00971D45"/>
    <w:rsid w:val="009725A6"/>
    <w:rsid w:val="00973C2D"/>
    <w:rsid w:val="009741CA"/>
    <w:rsid w:val="00975E3D"/>
    <w:rsid w:val="009779A8"/>
    <w:rsid w:val="0098032E"/>
    <w:rsid w:val="009804DC"/>
    <w:rsid w:val="00981461"/>
    <w:rsid w:val="00981A5E"/>
    <w:rsid w:val="00981D8C"/>
    <w:rsid w:val="009826E6"/>
    <w:rsid w:val="009842E6"/>
    <w:rsid w:val="0098483D"/>
    <w:rsid w:val="00984D77"/>
    <w:rsid w:val="00984E2D"/>
    <w:rsid w:val="0098621D"/>
    <w:rsid w:val="00986C1A"/>
    <w:rsid w:val="00987616"/>
    <w:rsid w:val="00987A31"/>
    <w:rsid w:val="00990668"/>
    <w:rsid w:val="0099242D"/>
    <w:rsid w:val="009924B0"/>
    <w:rsid w:val="00994EC5"/>
    <w:rsid w:val="00995C36"/>
    <w:rsid w:val="009A0911"/>
    <w:rsid w:val="009A11A3"/>
    <w:rsid w:val="009A1BDC"/>
    <w:rsid w:val="009A29BB"/>
    <w:rsid w:val="009A2CFF"/>
    <w:rsid w:val="009A4F05"/>
    <w:rsid w:val="009A50AF"/>
    <w:rsid w:val="009A52FC"/>
    <w:rsid w:val="009A53E4"/>
    <w:rsid w:val="009A5A32"/>
    <w:rsid w:val="009A6F8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705"/>
    <w:rsid w:val="009C6923"/>
    <w:rsid w:val="009C6A79"/>
    <w:rsid w:val="009C70C5"/>
    <w:rsid w:val="009C7188"/>
    <w:rsid w:val="009C7A63"/>
    <w:rsid w:val="009D2144"/>
    <w:rsid w:val="009D28F7"/>
    <w:rsid w:val="009D4628"/>
    <w:rsid w:val="009D5481"/>
    <w:rsid w:val="009D5550"/>
    <w:rsid w:val="009D69C8"/>
    <w:rsid w:val="009E36A1"/>
    <w:rsid w:val="009E4669"/>
    <w:rsid w:val="009E482C"/>
    <w:rsid w:val="009E7083"/>
    <w:rsid w:val="009F02F7"/>
    <w:rsid w:val="009F36D1"/>
    <w:rsid w:val="009F4189"/>
    <w:rsid w:val="009F42BB"/>
    <w:rsid w:val="009F4717"/>
    <w:rsid w:val="009F60D0"/>
    <w:rsid w:val="009F63EC"/>
    <w:rsid w:val="009F6B0C"/>
    <w:rsid w:val="009F721F"/>
    <w:rsid w:val="00A04411"/>
    <w:rsid w:val="00A04429"/>
    <w:rsid w:val="00A04449"/>
    <w:rsid w:val="00A05883"/>
    <w:rsid w:val="00A05E7D"/>
    <w:rsid w:val="00A069DE"/>
    <w:rsid w:val="00A07163"/>
    <w:rsid w:val="00A10500"/>
    <w:rsid w:val="00A1124A"/>
    <w:rsid w:val="00A11D96"/>
    <w:rsid w:val="00A11E04"/>
    <w:rsid w:val="00A12524"/>
    <w:rsid w:val="00A13215"/>
    <w:rsid w:val="00A141B4"/>
    <w:rsid w:val="00A14BA2"/>
    <w:rsid w:val="00A14C22"/>
    <w:rsid w:val="00A14E2E"/>
    <w:rsid w:val="00A1517D"/>
    <w:rsid w:val="00A152DF"/>
    <w:rsid w:val="00A15C9B"/>
    <w:rsid w:val="00A16793"/>
    <w:rsid w:val="00A167A9"/>
    <w:rsid w:val="00A17D85"/>
    <w:rsid w:val="00A20067"/>
    <w:rsid w:val="00A2071D"/>
    <w:rsid w:val="00A21BA7"/>
    <w:rsid w:val="00A22975"/>
    <w:rsid w:val="00A23675"/>
    <w:rsid w:val="00A25001"/>
    <w:rsid w:val="00A25C98"/>
    <w:rsid w:val="00A26A41"/>
    <w:rsid w:val="00A310DD"/>
    <w:rsid w:val="00A318D4"/>
    <w:rsid w:val="00A31E30"/>
    <w:rsid w:val="00A31F75"/>
    <w:rsid w:val="00A33241"/>
    <w:rsid w:val="00A33838"/>
    <w:rsid w:val="00A372E4"/>
    <w:rsid w:val="00A37B87"/>
    <w:rsid w:val="00A37F4B"/>
    <w:rsid w:val="00A40951"/>
    <w:rsid w:val="00A40B6B"/>
    <w:rsid w:val="00A41460"/>
    <w:rsid w:val="00A424E8"/>
    <w:rsid w:val="00A4443A"/>
    <w:rsid w:val="00A44BC5"/>
    <w:rsid w:val="00A46849"/>
    <w:rsid w:val="00A46FA3"/>
    <w:rsid w:val="00A520AA"/>
    <w:rsid w:val="00A52D87"/>
    <w:rsid w:val="00A55CBA"/>
    <w:rsid w:val="00A56BAC"/>
    <w:rsid w:val="00A62871"/>
    <w:rsid w:val="00A6547C"/>
    <w:rsid w:val="00A656BC"/>
    <w:rsid w:val="00A66B3C"/>
    <w:rsid w:val="00A67B20"/>
    <w:rsid w:val="00A67C14"/>
    <w:rsid w:val="00A71093"/>
    <w:rsid w:val="00A71C2F"/>
    <w:rsid w:val="00A733AC"/>
    <w:rsid w:val="00A74832"/>
    <w:rsid w:val="00A77026"/>
    <w:rsid w:val="00A80B8B"/>
    <w:rsid w:val="00A827A0"/>
    <w:rsid w:val="00A83D27"/>
    <w:rsid w:val="00A847B3"/>
    <w:rsid w:val="00A85FBA"/>
    <w:rsid w:val="00A87678"/>
    <w:rsid w:val="00A90374"/>
    <w:rsid w:val="00A90478"/>
    <w:rsid w:val="00A91697"/>
    <w:rsid w:val="00A92623"/>
    <w:rsid w:val="00A92D6D"/>
    <w:rsid w:val="00A93C5E"/>
    <w:rsid w:val="00A93F29"/>
    <w:rsid w:val="00A93F8F"/>
    <w:rsid w:val="00A94252"/>
    <w:rsid w:val="00A958B1"/>
    <w:rsid w:val="00A96DB3"/>
    <w:rsid w:val="00A96F11"/>
    <w:rsid w:val="00A972B8"/>
    <w:rsid w:val="00A97419"/>
    <w:rsid w:val="00A976AC"/>
    <w:rsid w:val="00A97C66"/>
    <w:rsid w:val="00AA0EBF"/>
    <w:rsid w:val="00AA2E77"/>
    <w:rsid w:val="00AA39E2"/>
    <w:rsid w:val="00AA64E9"/>
    <w:rsid w:val="00AB0D8F"/>
    <w:rsid w:val="00AB22FD"/>
    <w:rsid w:val="00AB3E9A"/>
    <w:rsid w:val="00AB4185"/>
    <w:rsid w:val="00AB6847"/>
    <w:rsid w:val="00AB7E68"/>
    <w:rsid w:val="00AC073C"/>
    <w:rsid w:val="00AC16E1"/>
    <w:rsid w:val="00AC1B98"/>
    <w:rsid w:val="00AC24AD"/>
    <w:rsid w:val="00AC3736"/>
    <w:rsid w:val="00AC5FF4"/>
    <w:rsid w:val="00AC6493"/>
    <w:rsid w:val="00AC6B7F"/>
    <w:rsid w:val="00AD08E6"/>
    <w:rsid w:val="00AD1EE2"/>
    <w:rsid w:val="00AD3135"/>
    <w:rsid w:val="00AD4175"/>
    <w:rsid w:val="00AD5936"/>
    <w:rsid w:val="00AD6B7E"/>
    <w:rsid w:val="00AE0B89"/>
    <w:rsid w:val="00AE0D58"/>
    <w:rsid w:val="00AE2DEC"/>
    <w:rsid w:val="00AE48A9"/>
    <w:rsid w:val="00AE5053"/>
    <w:rsid w:val="00AE60F0"/>
    <w:rsid w:val="00AE635A"/>
    <w:rsid w:val="00AE6CD8"/>
    <w:rsid w:val="00AF01C4"/>
    <w:rsid w:val="00AF07CA"/>
    <w:rsid w:val="00AF12F1"/>
    <w:rsid w:val="00AF211C"/>
    <w:rsid w:val="00AF21EF"/>
    <w:rsid w:val="00AF47E5"/>
    <w:rsid w:val="00AF5C87"/>
    <w:rsid w:val="00AF5E0B"/>
    <w:rsid w:val="00AF644B"/>
    <w:rsid w:val="00AF7E20"/>
    <w:rsid w:val="00B001EB"/>
    <w:rsid w:val="00B00380"/>
    <w:rsid w:val="00B02569"/>
    <w:rsid w:val="00B037BF"/>
    <w:rsid w:val="00B044EE"/>
    <w:rsid w:val="00B049EA"/>
    <w:rsid w:val="00B0555F"/>
    <w:rsid w:val="00B0625D"/>
    <w:rsid w:val="00B070B4"/>
    <w:rsid w:val="00B07EFE"/>
    <w:rsid w:val="00B11902"/>
    <w:rsid w:val="00B12A35"/>
    <w:rsid w:val="00B131A0"/>
    <w:rsid w:val="00B1441B"/>
    <w:rsid w:val="00B147BD"/>
    <w:rsid w:val="00B14BD2"/>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4752"/>
    <w:rsid w:val="00B34926"/>
    <w:rsid w:val="00B35E35"/>
    <w:rsid w:val="00B36058"/>
    <w:rsid w:val="00B36953"/>
    <w:rsid w:val="00B40958"/>
    <w:rsid w:val="00B40F48"/>
    <w:rsid w:val="00B41124"/>
    <w:rsid w:val="00B41EAD"/>
    <w:rsid w:val="00B42C0A"/>
    <w:rsid w:val="00B440E1"/>
    <w:rsid w:val="00B44586"/>
    <w:rsid w:val="00B44923"/>
    <w:rsid w:val="00B46990"/>
    <w:rsid w:val="00B475D4"/>
    <w:rsid w:val="00B47CB5"/>
    <w:rsid w:val="00B47F66"/>
    <w:rsid w:val="00B50AB5"/>
    <w:rsid w:val="00B51FD4"/>
    <w:rsid w:val="00B52E7E"/>
    <w:rsid w:val="00B53555"/>
    <w:rsid w:val="00B562EB"/>
    <w:rsid w:val="00B563BE"/>
    <w:rsid w:val="00B56D62"/>
    <w:rsid w:val="00B57059"/>
    <w:rsid w:val="00B60B70"/>
    <w:rsid w:val="00B60F3E"/>
    <w:rsid w:val="00B62831"/>
    <w:rsid w:val="00B62961"/>
    <w:rsid w:val="00B641F2"/>
    <w:rsid w:val="00B65197"/>
    <w:rsid w:val="00B6685F"/>
    <w:rsid w:val="00B668D7"/>
    <w:rsid w:val="00B678E8"/>
    <w:rsid w:val="00B70F7F"/>
    <w:rsid w:val="00B71479"/>
    <w:rsid w:val="00B72288"/>
    <w:rsid w:val="00B73091"/>
    <w:rsid w:val="00B73BFA"/>
    <w:rsid w:val="00B74003"/>
    <w:rsid w:val="00B75AA3"/>
    <w:rsid w:val="00B76638"/>
    <w:rsid w:val="00B76BEC"/>
    <w:rsid w:val="00B81665"/>
    <w:rsid w:val="00B8193D"/>
    <w:rsid w:val="00B81B73"/>
    <w:rsid w:val="00B8268E"/>
    <w:rsid w:val="00B82BE2"/>
    <w:rsid w:val="00B83243"/>
    <w:rsid w:val="00B83E6F"/>
    <w:rsid w:val="00B8717D"/>
    <w:rsid w:val="00B873C3"/>
    <w:rsid w:val="00B87E5A"/>
    <w:rsid w:val="00B902C3"/>
    <w:rsid w:val="00B9070E"/>
    <w:rsid w:val="00B92A16"/>
    <w:rsid w:val="00B92FE9"/>
    <w:rsid w:val="00B92FFA"/>
    <w:rsid w:val="00B93605"/>
    <w:rsid w:val="00B9659A"/>
    <w:rsid w:val="00BA0A3C"/>
    <w:rsid w:val="00BA1D89"/>
    <w:rsid w:val="00BA2BBC"/>
    <w:rsid w:val="00BA4134"/>
    <w:rsid w:val="00BA44F6"/>
    <w:rsid w:val="00BA5697"/>
    <w:rsid w:val="00BA5925"/>
    <w:rsid w:val="00BA750B"/>
    <w:rsid w:val="00BB03F9"/>
    <w:rsid w:val="00BB3C54"/>
    <w:rsid w:val="00BB409B"/>
    <w:rsid w:val="00BB4C3A"/>
    <w:rsid w:val="00BB5094"/>
    <w:rsid w:val="00BB5E89"/>
    <w:rsid w:val="00BB6342"/>
    <w:rsid w:val="00BB7FFD"/>
    <w:rsid w:val="00BC015C"/>
    <w:rsid w:val="00BC0DAE"/>
    <w:rsid w:val="00BC2796"/>
    <w:rsid w:val="00BC337C"/>
    <w:rsid w:val="00BC38C6"/>
    <w:rsid w:val="00BC3D9D"/>
    <w:rsid w:val="00BC3FC0"/>
    <w:rsid w:val="00BC4172"/>
    <w:rsid w:val="00BC5E27"/>
    <w:rsid w:val="00BC6C9E"/>
    <w:rsid w:val="00BC78AE"/>
    <w:rsid w:val="00BD1168"/>
    <w:rsid w:val="00BD2F8D"/>
    <w:rsid w:val="00BD55AD"/>
    <w:rsid w:val="00BD65D8"/>
    <w:rsid w:val="00BD6F66"/>
    <w:rsid w:val="00BD7673"/>
    <w:rsid w:val="00BE06C2"/>
    <w:rsid w:val="00BE0B56"/>
    <w:rsid w:val="00BE12AA"/>
    <w:rsid w:val="00BE14AD"/>
    <w:rsid w:val="00BE2137"/>
    <w:rsid w:val="00BE22AD"/>
    <w:rsid w:val="00BE2774"/>
    <w:rsid w:val="00BE3023"/>
    <w:rsid w:val="00BE7329"/>
    <w:rsid w:val="00BF0CF2"/>
    <w:rsid w:val="00BF1CA6"/>
    <w:rsid w:val="00BF3361"/>
    <w:rsid w:val="00BF435F"/>
    <w:rsid w:val="00BF444B"/>
    <w:rsid w:val="00BF6246"/>
    <w:rsid w:val="00BF678C"/>
    <w:rsid w:val="00BF6B7A"/>
    <w:rsid w:val="00C004CB"/>
    <w:rsid w:val="00C00FF0"/>
    <w:rsid w:val="00C023E7"/>
    <w:rsid w:val="00C024D5"/>
    <w:rsid w:val="00C03BEB"/>
    <w:rsid w:val="00C0414B"/>
    <w:rsid w:val="00C0440D"/>
    <w:rsid w:val="00C04461"/>
    <w:rsid w:val="00C04C64"/>
    <w:rsid w:val="00C059DC"/>
    <w:rsid w:val="00C05F5D"/>
    <w:rsid w:val="00C065EE"/>
    <w:rsid w:val="00C078CC"/>
    <w:rsid w:val="00C11E33"/>
    <w:rsid w:val="00C12244"/>
    <w:rsid w:val="00C127E4"/>
    <w:rsid w:val="00C130A8"/>
    <w:rsid w:val="00C14D4C"/>
    <w:rsid w:val="00C15647"/>
    <w:rsid w:val="00C22240"/>
    <w:rsid w:val="00C22749"/>
    <w:rsid w:val="00C23A4C"/>
    <w:rsid w:val="00C255B2"/>
    <w:rsid w:val="00C26A66"/>
    <w:rsid w:val="00C26E6D"/>
    <w:rsid w:val="00C31C0F"/>
    <w:rsid w:val="00C32F55"/>
    <w:rsid w:val="00C341CD"/>
    <w:rsid w:val="00C3454E"/>
    <w:rsid w:val="00C34A49"/>
    <w:rsid w:val="00C35780"/>
    <w:rsid w:val="00C3700B"/>
    <w:rsid w:val="00C40781"/>
    <w:rsid w:val="00C40D28"/>
    <w:rsid w:val="00C434D1"/>
    <w:rsid w:val="00C43795"/>
    <w:rsid w:val="00C44542"/>
    <w:rsid w:val="00C44657"/>
    <w:rsid w:val="00C446A3"/>
    <w:rsid w:val="00C44F53"/>
    <w:rsid w:val="00C45BC2"/>
    <w:rsid w:val="00C47791"/>
    <w:rsid w:val="00C4785A"/>
    <w:rsid w:val="00C50462"/>
    <w:rsid w:val="00C5163A"/>
    <w:rsid w:val="00C518BE"/>
    <w:rsid w:val="00C523FF"/>
    <w:rsid w:val="00C559F1"/>
    <w:rsid w:val="00C56673"/>
    <w:rsid w:val="00C56F01"/>
    <w:rsid w:val="00C60394"/>
    <w:rsid w:val="00C62FEA"/>
    <w:rsid w:val="00C63713"/>
    <w:rsid w:val="00C63EFB"/>
    <w:rsid w:val="00C65B7F"/>
    <w:rsid w:val="00C6639F"/>
    <w:rsid w:val="00C66CFD"/>
    <w:rsid w:val="00C674B3"/>
    <w:rsid w:val="00C67A7F"/>
    <w:rsid w:val="00C67C4A"/>
    <w:rsid w:val="00C70137"/>
    <w:rsid w:val="00C70167"/>
    <w:rsid w:val="00C7051B"/>
    <w:rsid w:val="00C70557"/>
    <w:rsid w:val="00C72DA4"/>
    <w:rsid w:val="00C7459D"/>
    <w:rsid w:val="00C750C2"/>
    <w:rsid w:val="00C75B0F"/>
    <w:rsid w:val="00C760D8"/>
    <w:rsid w:val="00C80CD1"/>
    <w:rsid w:val="00C82DE0"/>
    <w:rsid w:val="00C82DE9"/>
    <w:rsid w:val="00C82F2D"/>
    <w:rsid w:val="00C8336C"/>
    <w:rsid w:val="00C85009"/>
    <w:rsid w:val="00C8503C"/>
    <w:rsid w:val="00C858C2"/>
    <w:rsid w:val="00C863CE"/>
    <w:rsid w:val="00C8719C"/>
    <w:rsid w:val="00C872A4"/>
    <w:rsid w:val="00C91225"/>
    <w:rsid w:val="00C92492"/>
    <w:rsid w:val="00C92D91"/>
    <w:rsid w:val="00C93035"/>
    <w:rsid w:val="00C94257"/>
    <w:rsid w:val="00C95389"/>
    <w:rsid w:val="00C95426"/>
    <w:rsid w:val="00CA3CDE"/>
    <w:rsid w:val="00CA6C67"/>
    <w:rsid w:val="00CB0BD7"/>
    <w:rsid w:val="00CB0D6C"/>
    <w:rsid w:val="00CB19F3"/>
    <w:rsid w:val="00CB2F0B"/>
    <w:rsid w:val="00CB6A16"/>
    <w:rsid w:val="00CC1B0D"/>
    <w:rsid w:val="00CC2366"/>
    <w:rsid w:val="00CC2E3D"/>
    <w:rsid w:val="00CC38BA"/>
    <w:rsid w:val="00CC4307"/>
    <w:rsid w:val="00CC51FB"/>
    <w:rsid w:val="00CC7604"/>
    <w:rsid w:val="00CD0A9B"/>
    <w:rsid w:val="00CD1404"/>
    <w:rsid w:val="00CD157D"/>
    <w:rsid w:val="00CD29BF"/>
    <w:rsid w:val="00CD37E0"/>
    <w:rsid w:val="00CD3973"/>
    <w:rsid w:val="00CD4651"/>
    <w:rsid w:val="00CD4BE5"/>
    <w:rsid w:val="00CD7C1C"/>
    <w:rsid w:val="00CD7F4D"/>
    <w:rsid w:val="00CE0638"/>
    <w:rsid w:val="00CE1EF5"/>
    <w:rsid w:val="00CE3671"/>
    <w:rsid w:val="00CE48FE"/>
    <w:rsid w:val="00CE605F"/>
    <w:rsid w:val="00CE7F1A"/>
    <w:rsid w:val="00CF11CD"/>
    <w:rsid w:val="00CF3496"/>
    <w:rsid w:val="00CF40D7"/>
    <w:rsid w:val="00CF42D1"/>
    <w:rsid w:val="00CF7C22"/>
    <w:rsid w:val="00D01723"/>
    <w:rsid w:val="00D01B9D"/>
    <w:rsid w:val="00D01C21"/>
    <w:rsid w:val="00D02290"/>
    <w:rsid w:val="00D03783"/>
    <w:rsid w:val="00D03885"/>
    <w:rsid w:val="00D049CA"/>
    <w:rsid w:val="00D04E32"/>
    <w:rsid w:val="00D073C2"/>
    <w:rsid w:val="00D10B74"/>
    <w:rsid w:val="00D120A4"/>
    <w:rsid w:val="00D12CC8"/>
    <w:rsid w:val="00D13688"/>
    <w:rsid w:val="00D14D60"/>
    <w:rsid w:val="00D15956"/>
    <w:rsid w:val="00D23665"/>
    <w:rsid w:val="00D236D6"/>
    <w:rsid w:val="00D23A04"/>
    <w:rsid w:val="00D24D2C"/>
    <w:rsid w:val="00D24FE9"/>
    <w:rsid w:val="00D2539C"/>
    <w:rsid w:val="00D254A3"/>
    <w:rsid w:val="00D270FA"/>
    <w:rsid w:val="00D319FB"/>
    <w:rsid w:val="00D32D4F"/>
    <w:rsid w:val="00D3340B"/>
    <w:rsid w:val="00D335AA"/>
    <w:rsid w:val="00D3365C"/>
    <w:rsid w:val="00D33C6C"/>
    <w:rsid w:val="00D357C5"/>
    <w:rsid w:val="00D375F3"/>
    <w:rsid w:val="00D3783E"/>
    <w:rsid w:val="00D37CA8"/>
    <w:rsid w:val="00D41F61"/>
    <w:rsid w:val="00D42F81"/>
    <w:rsid w:val="00D438BC"/>
    <w:rsid w:val="00D4514E"/>
    <w:rsid w:val="00D46EF8"/>
    <w:rsid w:val="00D50775"/>
    <w:rsid w:val="00D50A9D"/>
    <w:rsid w:val="00D50EC9"/>
    <w:rsid w:val="00D51866"/>
    <w:rsid w:val="00D51BF2"/>
    <w:rsid w:val="00D52A1B"/>
    <w:rsid w:val="00D52F5A"/>
    <w:rsid w:val="00D5463B"/>
    <w:rsid w:val="00D5776D"/>
    <w:rsid w:val="00D57AE7"/>
    <w:rsid w:val="00D60364"/>
    <w:rsid w:val="00D64DF5"/>
    <w:rsid w:val="00D64EF3"/>
    <w:rsid w:val="00D67A4A"/>
    <w:rsid w:val="00D67F95"/>
    <w:rsid w:val="00D73F44"/>
    <w:rsid w:val="00D74505"/>
    <w:rsid w:val="00D750D8"/>
    <w:rsid w:val="00D7588D"/>
    <w:rsid w:val="00D76AA9"/>
    <w:rsid w:val="00D76D77"/>
    <w:rsid w:val="00D76E6F"/>
    <w:rsid w:val="00D77D51"/>
    <w:rsid w:val="00D80F60"/>
    <w:rsid w:val="00D817F5"/>
    <w:rsid w:val="00D81AF9"/>
    <w:rsid w:val="00D846C7"/>
    <w:rsid w:val="00D858E0"/>
    <w:rsid w:val="00D8613E"/>
    <w:rsid w:val="00D90968"/>
    <w:rsid w:val="00D91830"/>
    <w:rsid w:val="00D91F32"/>
    <w:rsid w:val="00D92EE6"/>
    <w:rsid w:val="00D932D7"/>
    <w:rsid w:val="00D93713"/>
    <w:rsid w:val="00D937E5"/>
    <w:rsid w:val="00D93E80"/>
    <w:rsid w:val="00D94598"/>
    <w:rsid w:val="00D946C9"/>
    <w:rsid w:val="00D96B70"/>
    <w:rsid w:val="00D97012"/>
    <w:rsid w:val="00D97D46"/>
    <w:rsid w:val="00DA13D4"/>
    <w:rsid w:val="00DA1524"/>
    <w:rsid w:val="00DA4775"/>
    <w:rsid w:val="00DA6F87"/>
    <w:rsid w:val="00DA74B9"/>
    <w:rsid w:val="00DB387A"/>
    <w:rsid w:val="00DB4DB7"/>
    <w:rsid w:val="00DB5AF6"/>
    <w:rsid w:val="00DB5E3C"/>
    <w:rsid w:val="00DB5FB5"/>
    <w:rsid w:val="00DB6FDB"/>
    <w:rsid w:val="00DC3967"/>
    <w:rsid w:val="00DC445D"/>
    <w:rsid w:val="00DC4A3E"/>
    <w:rsid w:val="00DC4BD0"/>
    <w:rsid w:val="00DC517F"/>
    <w:rsid w:val="00DC5CE0"/>
    <w:rsid w:val="00DC66E4"/>
    <w:rsid w:val="00DC70AB"/>
    <w:rsid w:val="00DD222A"/>
    <w:rsid w:val="00DD2F0C"/>
    <w:rsid w:val="00DD3216"/>
    <w:rsid w:val="00DD3BB2"/>
    <w:rsid w:val="00DD3E3A"/>
    <w:rsid w:val="00DD3E85"/>
    <w:rsid w:val="00DD68FD"/>
    <w:rsid w:val="00DE0ACF"/>
    <w:rsid w:val="00DE18F9"/>
    <w:rsid w:val="00DE2058"/>
    <w:rsid w:val="00DE229A"/>
    <w:rsid w:val="00DE5F92"/>
    <w:rsid w:val="00DE6079"/>
    <w:rsid w:val="00DE6F2C"/>
    <w:rsid w:val="00DE6F62"/>
    <w:rsid w:val="00DF17B0"/>
    <w:rsid w:val="00DF296F"/>
    <w:rsid w:val="00DF2E94"/>
    <w:rsid w:val="00DF37AF"/>
    <w:rsid w:val="00DF4AB6"/>
    <w:rsid w:val="00DF6666"/>
    <w:rsid w:val="00DF7AE1"/>
    <w:rsid w:val="00E03F83"/>
    <w:rsid w:val="00E05214"/>
    <w:rsid w:val="00E053DE"/>
    <w:rsid w:val="00E05786"/>
    <w:rsid w:val="00E064D4"/>
    <w:rsid w:val="00E0688D"/>
    <w:rsid w:val="00E07C0E"/>
    <w:rsid w:val="00E10D3E"/>
    <w:rsid w:val="00E1188C"/>
    <w:rsid w:val="00E12417"/>
    <w:rsid w:val="00E12469"/>
    <w:rsid w:val="00E126CF"/>
    <w:rsid w:val="00E126F7"/>
    <w:rsid w:val="00E13EFB"/>
    <w:rsid w:val="00E14C91"/>
    <w:rsid w:val="00E14E8B"/>
    <w:rsid w:val="00E17F0F"/>
    <w:rsid w:val="00E21210"/>
    <w:rsid w:val="00E220A3"/>
    <w:rsid w:val="00E224CF"/>
    <w:rsid w:val="00E23EE8"/>
    <w:rsid w:val="00E27F87"/>
    <w:rsid w:val="00E323B0"/>
    <w:rsid w:val="00E3325F"/>
    <w:rsid w:val="00E33A4A"/>
    <w:rsid w:val="00E34CDC"/>
    <w:rsid w:val="00E35C56"/>
    <w:rsid w:val="00E36185"/>
    <w:rsid w:val="00E367B4"/>
    <w:rsid w:val="00E3684E"/>
    <w:rsid w:val="00E36D29"/>
    <w:rsid w:val="00E37586"/>
    <w:rsid w:val="00E40250"/>
    <w:rsid w:val="00E402C9"/>
    <w:rsid w:val="00E40A7A"/>
    <w:rsid w:val="00E40DB6"/>
    <w:rsid w:val="00E44E2E"/>
    <w:rsid w:val="00E4500F"/>
    <w:rsid w:val="00E47476"/>
    <w:rsid w:val="00E476CA"/>
    <w:rsid w:val="00E47E5A"/>
    <w:rsid w:val="00E5071F"/>
    <w:rsid w:val="00E50FB6"/>
    <w:rsid w:val="00E51F72"/>
    <w:rsid w:val="00E532E3"/>
    <w:rsid w:val="00E54888"/>
    <w:rsid w:val="00E553CB"/>
    <w:rsid w:val="00E55A1A"/>
    <w:rsid w:val="00E561E7"/>
    <w:rsid w:val="00E562DF"/>
    <w:rsid w:val="00E571A1"/>
    <w:rsid w:val="00E57276"/>
    <w:rsid w:val="00E57861"/>
    <w:rsid w:val="00E60725"/>
    <w:rsid w:val="00E60A05"/>
    <w:rsid w:val="00E60C73"/>
    <w:rsid w:val="00E61808"/>
    <w:rsid w:val="00E61B31"/>
    <w:rsid w:val="00E61F68"/>
    <w:rsid w:val="00E62308"/>
    <w:rsid w:val="00E6476E"/>
    <w:rsid w:val="00E656B0"/>
    <w:rsid w:val="00E66CD0"/>
    <w:rsid w:val="00E66E1D"/>
    <w:rsid w:val="00E7004A"/>
    <w:rsid w:val="00E704FB"/>
    <w:rsid w:val="00E70811"/>
    <w:rsid w:val="00E7115B"/>
    <w:rsid w:val="00E7218C"/>
    <w:rsid w:val="00E72DCD"/>
    <w:rsid w:val="00E7350F"/>
    <w:rsid w:val="00E737B6"/>
    <w:rsid w:val="00E7490E"/>
    <w:rsid w:val="00E7576D"/>
    <w:rsid w:val="00E76A6C"/>
    <w:rsid w:val="00E77DBD"/>
    <w:rsid w:val="00E77FAC"/>
    <w:rsid w:val="00E77FDB"/>
    <w:rsid w:val="00E8152A"/>
    <w:rsid w:val="00E816B2"/>
    <w:rsid w:val="00E81933"/>
    <w:rsid w:val="00E823EC"/>
    <w:rsid w:val="00E850E1"/>
    <w:rsid w:val="00E878FE"/>
    <w:rsid w:val="00E879F9"/>
    <w:rsid w:val="00E9120C"/>
    <w:rsid w:val="00E91556"/>
    <w:rsid w:val="00E92134"/>
    <w:rsid w:val="00E95FF5"/>
    <w:rsid w:val="00E97D70"/>
    <w:rsid w:val="00EA093E"/>
    <w:rsid w:val="00EA0FC2"/>
    <w:rsid w:val="00EA1F8C"/>
    <w:rsid w:val="00EA202A"/>
    <w:rsid w:val="00EA2B4B"/>
    <w:rsid w:val="00EA2DAF"/>
    <w:rsid w:val="00EA3822"/>
    <w:rsid w:val="00EA4C37"/>
    <w:rsid w:val="00EB03B3"/>
    <w:rsid w:val="00EB0BE3"/>
    <w:rsid w:val="00EB23CD"/>
    <w:rsid w:val="00EB37F4"/>
    <w:rsid w:val="00EB448F"/>
    <w:rsid w:val="00EB5BAB"/>
    <w:rsid w:val="00EB6121"/>
    <w:rsid w:val="00EB6E14"/>
    <w:rsid w:val="00EC0160"/>
    <w:rsid w:val="00EC08D5"/>
    <w:rsid w:val="00EC10BB"/>
    <w:rsid w:val="00EC53E5"/>
    <w:rsid w:val="00EC72C3"/>
    <w:rsid w:val="00ED0A21"/>
    <w:rsid w:val="00ED1F77"/>
    <w:rsid w:val="00ED33BE"/>
    <w:rsid w:val="00ED3787"/>
    <w:rsid w:val="00ED6325"/>
    <w:rsid w:val="00ED65C7"/>
    <w:rsid w:val="00ED6914"/>
    <w:rsid w:val="00ED6F42"/>
    <w:rsid w:val="00ED761D"/>
    <w:rsid w:val="00EE24A1"/>
    <w:rsid w:val="00EE2647"/>
    <w:rsid w:val="00EE3987"/>
    <w:rsid w:val="00EE5D2C"/>
    <w:rsid w:val="00EE6A09"/>
    <w:rsid w:val="00EE6F3D"/>
    <w:rsid w:val="00EE6F92"/>
    <w:rsid w:val="00EE7D9D"/>
    <w:rsid w:val="00EF063B"/>
    <w:rsid w:val="00EF0E5B"/>
    <w:rsid w:val="00EF0F4A"/>
    <w:rsid w:val="00EF1D2A"/>
    <w:rsid w:val="00EF25DC"/>
    <w:rsid w:val="00EF2B93"/>
    <w:rsid w:val="00EF3302"/>
    <w:rsid w:val="00EF362D"/>
    <w:rsid w:val="00EF4220"/>
    <w:rsid w:val="00EF4445"/>
    <w:rsid w:val="00EF5CC3"/>
    <w:rsid w:val="00EF5E82"/>
    <w:rsid w:val="00EF679E"/>
    <w:rsid w:val="00F00BAF"/>
    <w:rsid w:val="00F00E98"/>
    <w:rsid w:val="00F028FA"/>
    <w:rsid w:val="00F0382C"/>
    <w:rsid w:val="00F04209"/>
    <w:rsid w:val="00F0586A"/>
    <w:rsid w:val="00F07AD1"/>
    <w:rsid w:val="00F120CC"/>
    <w:rsid w:val="00F12EE5"/>
    <w:rsid w:val="00F12F6E"/>
    <w:rsid w:val="00F13034"/>
    <w:rsid w:val="00F143B6"/>
    <w:rsid w:val="00F148B5"/>
    <w:rsid w:val="00F14E92"/>
    <w:rsid w:val="00F158DB"/>
    <w:rsid w:val="00F16F64"/>
    <w:rsid w:val="00F172E9"/>
    <w:rsid w:val="00F175F6"/>
    <w:rsid w:val="00F20633"/>
    <w:rsid w:val="00F20DDB"/>
    <w:rsid w:val="00F213EE"/>
    <w:rsid w:val="00F2326B"/>
    <w:rsid w:val="00F26B40"/>
    <w:rsid w:val="00F30403"/>
    <w:rsid w:val="00F30CEB"/>
    <w:rsid w:val="00F3611E"/>
    <w:rsid w:val="00F36939"/>
    <w:rsid w:val="00F37293"/>
    <w:rsid w:val="00F37B6A"/>
    <w:rsid w:val="00F4249D"/>
    <w:rsid w:val="00F4270B"/>
    <w:rsid w:val="00F42A16"/>
    <w:rsid w:val="00F42E81"/>
    <w:rsid w:val="00F433A3"/>
    <w:rsid w:val="00F4409B"/>
    <w:rsid w:val="00F45A77"/>
    <w:rsid w:val="00F47F7C"/>
    <w:rsid w:val="00F509C0"/>
    <w:rsid w:val="00F52A75"/>
    <w:rsid w:val="00F52B65"/>
    <w:rsid w:val="00F5422D"/>
    <w:rsid w:val="00F552B1"/>
    <w:rsid w:val="00F55A4D"/>
    <w:rsid w:val="00F56563"/>
    <w:rsid w:val="00F62939"/>
    <w:rsid w:val="00F6478A"/>
    <w:rsid w:val="00F65890"/>
    <w:rsid w:val="00F65DF1"/>
    <w:rsid w:val="00F66E7D"/>
    <w:rsid w:val="00F70625"/>
    <w:rsid w:val="00F71335"/>
    <w:rsid w:val="00F71489"/>
    <w:rsid w:val="00F7152D"/>
    <w:rsid w:val="00F72433"/>
    <w:rsid w:val="00F7271C"/>
    <w:rsid w:val="00F72B26"/>
    <w:rsid w:val="00F7309A"/>
    <w:rsid w:val="00F737D5"/>
    <w:rsid w:val="00F74CDD"/>
    <w:rsid w:val="00F75890"/>
    <w:rsid w:val="00F7730D"/>
    <w:rsid w:val="00F81A97"/>
    <w:rsid w:val="00F81B57"/>
    <w:rsid w:val="00F829DA"/>
    <w:rsid w:val="00F85375"/>
    <w:rsid w:val="00F855B6"/>
    <w:rsid w:val="00F86F73"/>
    <w:rsid w:val="00F92C17"/>
    <w:rsid w:val="00F948FF"/>
    <w:rsid w:val="00F94BE3"/>
    <w:rsid w:val="00F96431"/>
    <w:rsid w:val="00F96674"/>
    <w:rsid w:val="00F96A87"/>
    <w:rsid w:val="00F979C9"/>
    <w:rsid w:val="00F97CF9"/>
    <w:rsid w:val="00FA1ED8"/>
    <w:rsid w:val="00FA31EB"/>
    <w:rsid w:val="00FA3FA2"/>
    <w:rsid w:val="00FA5EBC"/>
    <w:rsid w:val="00FB1BE8"/>
    <w:rsid w:val="00FB25F0"/>
    <w:rsid w:val="00FB3F21"/>
    <w:rsid w:val="00FB48D1"/>
    <w:rsid w:val="00FB4B6F"/>
    <w:rsid w:val="00FB588B"/>
    <w:rsid w:val="00FC02D5"/>
    <w:rsid w:val="00FC0663"/>
    <w:rsid w:val="00FC0E12"/>
    <w:rsid w:val="00FC1AB4"/>
    <w:rsid w:val="00FC222E"/>
    <w:rsid w:val="00FC2FF5"/>
    <w:rsid w:val="00FC32C8"/>
    <w:rsid w:val="00FC3586"/>
    <w:rsid w:val="00FC6083"/>
    <w:rsid w:val="00FD0B4D"/>
    <w:rsid w:val="00FD0C1D"/>
    <w:rsid w:val="00FD465C"/>
    <w:rsid w:val="00FD5005"/>
    <w:rsid w:val="00FD5C9F"/>
    <w:rsid w:val="00FD5DF0"/>
    <w:rsid w:val="00FE0386"/>
    <w:rsid w:val="00FE13DA"/>
    <w:rsid w:val="00FE27D3"/>
    <w:rsid w:val="00FE405F"/>
    <w:rsid w:val="00FE590E"/>
    <w:rsid w:val="00FE5FEF"/>
    <w:rsid w:val="00FF1D56"/>
    <w:rsid w:val="00FF3DC9"/>
    <w:rsid w:val="00FF5295"/>
    <w:rsid w:val="00FF5434"/>
    <w:rsid w:val="00FF646F"/>
    <w:rsid w:val="00FF7460"/>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5F5D6EC6-33C3-4D9A-B45A-4452A0FD8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uiPriority w:val="5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72907785">
      <w:bodyDiv w:val="1"/>
      <w:marLeft w:val="0"/>
      <w:marRight w:val="0"/>
      <w:marTop w:val="0"/>
      <w:marBottom w:val="0"/>
      <w:divBdr>
        <w:top w:val="none" w:sz="0" w:space="0" w:color="auto"/>
        <w:left w:val="none" w:sz="0" w:space="0" w:color="auto"/>
        <w:bottom w:val="none" w:sz="0" w:space="0" w:color="auto"/>
        <w:right w:val="none" w:sz="0" w:space="0" w:color="auto"/>
      </w:divBdr>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38732782">
      <w:bodyDiv w:val="1"/>
      <w:marLeft w:val="0"/>
      <w:marRight w:val="0"/>
      <w:marTop w:val="0"/>
      <w:marBottom w:val="0"/>
      <w:divBdr>
        <w:top w:val="none" w:sz="0" w:space="0" w:color="auto"/>
        <w:left w:val="none" w:sz="0" w:space="0" w:color="auto"/>
        <w:bottom w:val="none" w:sz="0" w:space="0" w:color="auto"/>
        <w:right w:val="none" w:sz="0" w:space="0" w:color="auto"/>
      </w:divBdr>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36980257">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978532226">
      <w:bodyDiv w:val="1"/>
      <w:marLeft w:val="0"/>
      <w:marRight w:val="0"/>
      <w:marTop w:val="0"/>
      <w:marBottom w:val="0"/>
      <w:divBdr>
        <w:top w:val="none" w:sz="0" w:space="0" w:color="auto"/>
        <w:left w:val="none" w:sz="0" w:space="0" w:color="auto"/>
        <w:bottom w:val="none" w:sz="0" w:space="0" w:color="auto"/>
        <w:right w:val="none" w:sz="0" w:space="0" w:color="auto"/>
      </w:divBdr>
    </w:div>
    <w:div w:id="1104764962">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203788161">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02606489">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ftp://www.3gpp.org/Specs/archive/45_series/45.820/45820-d10.zip"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tp://www.3gpp.org/Specs/archive/38_series/38.913/38913-040.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B432F-0EDF-4EA7-AF7C-DFDD52963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3420</Words>
  <Characters>19495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Olof Liberg</dc:creator>
  <cp:keywords/>
  <dc:description/>
  <cp:lastModifiedBy>Olof Liberg</cp:lastModifiedBy>
  <cp:revision>16</cp:revision>
  <dcterms:created xsi:type="dcterms:W3CDTF">2017-02-14T20:14:00Z</dcterms:created>
  <dcterms:modified xsi:type="dcterms:W3CDTF">2017-02-15T15:26:00Z</dcterms:modified>
</cp:coreProperties>
</file>